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Productivity Software Expenditure Review</w:t>
      </w:r>
    </w:p>
    <w:p/>
    <w:p>
      <w:pPr>
        <w:pStyle w:val="Heading2"/>
      </w:pPr>
      <w:r>
        <w:t>Introduction</w:t>
      </w:r>
    </w:p>
    <w:p/>
    <w:p>
      <w:r>
        <w:t>As we continue to innovate in the virtual healthcare space, understanding our technology investments is crucial. This document provides insights into the expenditure on productivity software licenses by MediConn Solutions in 2024. It also highlights the distribution of these licenses and their utilization across various departments. The findings will guide future decisions on software procurement and budget planning.</w:t>
      </w:r>
    </w:p>
    <w:p/>
    <w:p>
      <w:pPr>
        <w:pStyle w:val="Heading2"/>
      </w:pPr>
      <w:r>
        <w:t>Analysis of Departmental Software Utilization</w:t>
      </w:r>
    </w:p>
    <w:p/>
    <w:p>
      <w:r>
        <w:t>In 2024, MediConn Solutions observed a significant increase in the use of telemedicine software across all departments. The clinical department reported a 30% increase in usage compared to the previous year. Similarly, the administrative department saw a 25% increase in the use of project management tools to better coordinate remote operations.</w:t>
      </w:r>
    </w:p>
    <w:p/>
    <w:p>
      <w:pPr>
        <w:pStyle w:val="Heading2"/>
      </w:pPr>
      <w:r>
        <w:t>Overview of 2024 Software Procurement</w:t>
      </w:r>
    </w:p>
    <w:p/>
    <w:p>
      <w:r>
        <w:t>MediConn Solutions' procurement process in 2024 primarily focused on securing telehealth and data security applications. The procurement team collaborated closely with the IT department to ensure the selected software met the company's needs in terms of functionality and security. The company also introduced a new vendor assessment process for better software selection.</w:t>
      </w:r>
    </w:p>
    <w:p/>
    <w:p>
      <w:pPr>
        <w:pStyle w:val="Heading2"/>
      </w:pPr>
      <w:r>
        <w:t>Implications on Budgetary Allocation for Technology</w:t>
      </w:r>
    </w:p>
    <w:p/>
    <w:p>
      <w:r>
        <w:t>The 2024 fiscal year saw MediConn Solutions allocating 20% more funds to technology compared to the previous year. This was primarily due to increased investments in new hardware and network infrastructure. The firm also set aside funds for cyber security enhancements, following industry trends for remote healthcare providers.</w:t>
      </w:r>
    </w:p>
    <w:p/>
    <w:p>
      <w:pPr>
        <w:pStyle w:val="Heading2"/>
      </w:pPr>
      <w:r>
        <w:t>Conclusion</w:t>
      </w:r>
    </w:p>
    <w:p/>
    <w:p>
      <w:r>
        <w:t>From our analysis, we've gained valuable insights into our technology investments in 2024. The knowledge of our software procurement and its utilization across departments will inform our future budgetary decisions. As we continue to grow, we must ensure our technology aligns with our business goals. Therefore, a more strategic approach towards software procurement will be implemented going forward.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