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2024 Office Expenses Analysis</w:t>
      </w:r>
    </w:p>
    <w:p/>
    <w:p>
      <w:pPr>
        <w:pStyle w:val="Heading2"/>
      </w:pPr>
      <w:r>
        <w:t>Introduction</w:t>
      </w:r>
    </w:p>
    <w:p/>
    <w:p>
      <w:r>
        <w:t>This document provides a comprehensive overview of MediConn Solutions' office-related expenditures for the year 2024. The primary focus is on the category of stationery items, their cost implications and utilization, as it represents a significant portion of our operational costs. The purpose of this analysis is to guide future budgeting and cost reduction strategies while maintaining operational efficiency.</w:t>
      </w:r>
    </w:p>
    <w:p/>
    <w:p>
      <w:pPr>
        <w:pStyle w:val="Heading2"/>
      </w:pPr>
      <w:r>
        <w:t>Breakdown of Office Expenses in 2024</w:t>
      </w:r>
    </w:p>
    <w:p/>
    <w:p>
      <w:r>
        <w:t>In the fiscal year 2024, MediConn Solutions dedicated a significant portion of its budget towards office expenses. The IT department required an upgrade in hardware, leading to a 15% increase in their annual spend. On the other hand, the Human Resources department managed to cut down its expenses by 10% through efficiency measures.</w:t>
      </w:r>
    </w:p>
    <w:p/>
    <w:p>
      <w:pPr>
        <w:pStyle w:val="Heading2"/>
      </w:pPr>
      <w:r>
        <w:t>Stationery Procurement and Usage Analysis</w:t>
      </w:r>
    </w:p>
    <w:p/>
    <w:p>
      <w:r>
        <w:t>Our company utilizes an efficient procurement process for stationery items. We work with multiple vendors to ensure competitive pricing and timely delivery. In 2024, we noted an increased usage of digital tools, leading to a decrease in the consumption of certain stationery items.</w:t>
      </w:r>
    </w:p>
    <w:p/>
    <w:p>
      <w:pPr>
        <w:pStyle w:val="Heading2"/>
      </w:pPr>
      <w:r>
        <w:t>Cost-Effectiveness and Sustainability of Stationery Items</w:t>
      </w:r>
    </w:p>
    <w:p/>
    <w:p>
      <w:r>
        <w:t>At MediConn Solutions, we prioritize the use of sustainable and cost-effective stationery items. In 2024, we switched to recycled paper products, reducing our environmental impact. This move also resulted in positive feedback from our employees and stakeholders.</w:t>
      </w:r>
    </w:p>
    <w:p/>
    <w:p>
      <w:pPr>
        <w:pStyle w:val="Heading2"/>
      </w:pPr>
      <w:r>
        <w:t>Conclusion</w:t>
      </w:r>
    </w:p>
    <w:p/>
    <w:p>
      <w:r>
        <w:t>The analysis reveals significant insights into the expenditure patterns, particularly in the category of stationery items. The data can guide budgeting decisions, procurement practices, and sustainability initiatives. By leveraging these insights, we can optimize cost-effectiveness and operational efficiency. Potential next steps include a more detailed review of our procurement strategies and exploring cost-saving opportunities.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