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CPPA Act Preparedness Plan</w:t>
      </w:r>
    </w:p>
    <w:p/>
    <w:p>
      <w:pPr>
        <w:pStyle w:val="Heading2"/>
      </w:pPr>
      <w:r>
        <w:t>Introduction</w:t>
      </w:r>
    </w:p>
    <w:p/>
    <w:p>
      <w:r>
        <w:t>In anticipation of the potential enactment of the CPPA Act (Bill C-27), it's crucial that MediConn Solutions establishes a robust preparedness plan. The plan aims to ensure that our systems and operations continue to function smoothly, protecting our business and clients' interests. As the Senior Systems Administrator, I have outlined necessary steps and considerations to facilitate this transition.</w:t>
      </w:r>
    </w:p>
    <w:p/>
    <w:p>
      <w:pPr>
        <w:pStyle w:val="Heading2"/>
      </w:pPr>
      <w:r>
        <w:t>Risk Assessment and Mitigation Strategies</w:t>
      </w:r>
    </w:p>
    <w:p/>
    <w:p>
      <w:r>
        <w:t>We are developing a comprehensive risk management strategy to tackle potential cyber threats. Our strategy includes regular software updates, secure data backup, and employee training. The goal is to reduce the number of system vulnerabilities by 50% in 2023.</w:t>
      </w:r>
    </w:p>
    <w:p/>
    <w:p>
      <w:pPr>
        <w:pStyle w:val="Heading2"/>
      </w:pPr>
      <w:r>
        <w:t>Implementation of Data Privacy Protocols</w:t>
      </w:r>
    </w:p>
    <w:p/>
    <w:p>
      <w:r>
        <w:t>Our existing data privacy protocols have been effective in ensuring the security of patient data. According to our recent audit, we have a 99% compliance rate with the current regulations. However, our team is continuously monitoring the protocols to optimize performance and increase efficiency.</w:t>
      </w:r>
    </w:p>
    <w:p/>
    <w:p>
      <w:pPr>
        <w:pStyle w:val="Heading2"/>
      </w:pPr>
      <w:r>
        <w:t>Preemptive System Adjustments for Compliance</w:t>
      </w:r>
    </w:p>
    <w:p/>
    <w:p>
      <w:r>
        <w:t>Our strategic initiatives aimed at achieving compliance readiness have been successful to an impressive extent. As we approach Q2 2026, we foresee a significant enhancement in our compliance readiness index, rising from the current 60% as of Q4 2025 to nearly 95%. This leap is attributed to the diligent deployment of new systems and frameworks necessitated by the CPPA. These structured upgrades are not only designed to elevate us from partial readiness but also ensure we achieve near-full preparedness within a single audit cycle.</w:t>
      </w:r>
    </w:p>
    <w:p/>
    <w:p>
      <w:pPr>
        <w:pStyle w:val="Heading2"/>
      </w:pPr>
      <w:r>
        <w:t>Conclusion</w:t>
      </w:r>
    </w:p>
    <w:p/>
    <w:p>
      <w:r>
        <w:t>The plan delineated above provides a comprehensive blueprint on how MediConn Solutions can prepare for the impending CPPA Act. It emphasizes preemptive system adjustments, risk assessment, and data privacy protocols. It is recommended that these initiatives are acted upon at the earliest to ensure seamless business operations. Further refinement of these strategies will be undertaken as we continue to monitor the legislative landscape.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