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2025 H1 Lee's Market Absorption Analysis</w:t>
      </w:r>
    </w:p>
    <w:p/>
    <w:p>
      <w:pPr>
        <w:pStyle w:val="Heading2"/>
      </w:pPr>
      <w:r>
        <w:t>Introduction</w:t>
      </w:r>
    </w:p>
    <w:p/>
    <w:p>
      <w:r>
        <w:t>This document provides an analysis of the space occupancy levels in Lee's Market's regional malls for the first half of 2025. Understanding this data aids in strategic decision making, particularly with regards to our expansion strategies, leasing activities, and customer experience enhancements. The report includes an analysis of negative absorption, a key metric indicative of the mall's health and profitability.</w:t>
      </w:r>
    </w:p>
    <w:p/>
    <w:p>
      <w:pPr>
        <w:pStyle w:val="Heading2"/>
      </w:pPr>
      <w:r>
        <w:t>2025 H1 Leasing Activity Overview</w:t>
      </w:r>
    </w:p>
    <w:p/>
    <w:p>
      <w:r>
        <w:t>In the first half of 2025, Lee's Market facilitated 150 new leases with a diverse range of retail tenants. Interestingly, we noticed a 7% uptick in leasing activities from fashion retailers, signifying a potential revival of the physical fashion retail sector. Our leasing team has been strategic in ensuring optimal tenant mix to enhance shoppers' experience and drive footfall.</w:t>
      </w:r>
    </w:p>
    <w:p/>
    <w:p>
      <w:pPr>
        <w:pStyle w:val="Heading2"/>
      </w:pPr>
      <w:r>
        <w:t>Space Absorption and Occupancy Analysis</w:t>
      </w:r>
    </w:p>
    <w:p/>
    <w:p>
      <w:r>
        <w:t>Our comprehensive occupancy analysis as of June 2025, shows a steady occupancy rate of 92% across our regional malls. This is a testament to our efforts in maintaining high tenant retention and attracting new tenants. We continue to monitor our leasing pipeline for potential risks and opportunities in the coming quarters.</w:t>
      </w:r>
    </w:p>
    <w:p/>
    <w:p>
      <w:pPr>
        <w:pStyle w:val="Heading2"/>
      </w:pPr>
      <w:r>
        <w:t>Implications of Negative Absorption Figures</w:t>
      </w:r>
    </w:p>
    <w:p/>
    <w:p>
      <w:r>
        <w:t>Negative absorption can sometimes suggest a slowdown in retail activity. However, it's important to consider other factors like economic conditions, tenant mix, and lease renewal rates. We have a robust strategy in place to mitigate any potential impact and ensure sustained performance.</w:t>
      </w:r>
    </w:p>
    <w:p/>
    <w:p>
      <w:pPr>
        <w:pStyle w:val="Heading2"/>
      </w:pPr>
      <w:r>
        <w:t>Conclusion</w:t>
      </w:r>
    </w:p>
    <w:p/>
    <w:p>
      <w:r>
        <w:t>The negative absorption in our regional malls presents both challenges and opportunities. As we move forward, it will be essential to devise strategies to increase occupancy and mitigate the impacts of negative absorption. This may include revising our leasing strategies, enhancing customer experience, or reevaluating our expansion plans. Further analysis and action planning will be essential to our continued success.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