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Solutions Care Provider Overview</w:t>
      </w:r>
    </w:p>
    <w:p/>
    <w:p>
      <w:pPr>
        <w:pStyle w:val="Heading2"/>
      </w:pPr>
      <w:r>
        <w:t>Introduction</w:t>
      </w:r>
    </w:p>
    <w:p/>
    <w:p>
      <w:r>
        <w:t>This document provides an overview of MediConn Solutions' licensed care providers, a crucial component of our remote healthcare services. Understanding our provider network is essential for our strategic planning and decision-making processes, as it reflects our capacity to deliver quality healthcare. This report will shed light on the current state of our provider network and related metrics.</w:t>
      </w:r>
    </w:p>
    <w:p/>
    <w:p>
      <w:pPr>
        <w:pStyle w:val="Heading2"/>
      </w:pPr>
      <w:r>
        <w:t>Care Provider Credential Verification Process</w:t>
      </w:r>
    </w:p>
    <w:p/>
    <w:p>
      <w:r>
        <w:t>At MediConn Solutions, we have a comprehensive credential verification process. When a practitioner applies to join our network, their credentials are thoroughly vetted by our credentialing department. This includes verification of medical license, training, and past professional conduct. The process typically takes 60-90 days to complete.</w:t>
      </w:r>
    </w:p>
    <w:p/>
    <w:p>
      <w:pPr>
        <w:pStyle w:val="Heading2"/>
      </w:pPr>
      <w:r>
        <w:t>Demographic Breakdown of Care Providers</w:t>
      </w:r>
    </w:p>
    <w:p/>
    <w:p>
      <w:r>
        <w:t>Our care provider network is quite diverse. In the last quarter of 2020, we noticed an uptick in the number of providers aged 30-40. This age group now represents 45% of our care providers. Additionally, 60% of our providers are female, reflecting broader trends in the healthcare industry.</w:t>
      </w:r>
    </w:p>
    <w:p/>
    <w:p>
      <w:pPr>
        <w:pStyle w:val="Heading2"/>
      </w:pPr>
      <w:r>
        <w:t>Current Number of Licensed Care Providers</w:t>
      </w:r>
    </w:p>
    <w:p/>
    <w:p>
      <w:r>
        <w:t>MediConn Solutions has an annual review process to ensure all providers maintain their licensing requirements. In our 2021 review, we identified a 3% increase in providers needing remedial action to maintain their licenses. This process helps us ensure the highest standard of healthcare delivery in our network.</w:t>
      </w:r>
    </w:p>
    <w:p/>
    <w:p>
      <w:pPr>
        <w:pStyle w:val="Heading2"/>
      </w:pPr>
      <w:r>
        <w:t>Conclusion</w:t>
      </w:r>
    </w:p>
    <w:p/>
    <w:p>
      <w:r>
        <w:t>Our licensed care provider network is an essential aspect of our service delivery model. The data presented herein provides a snapshot of our current provider landscape. We must continuously monitor and optimize this network to ensure we meet the evolving needs of our patient population. Future efforts should focus on recruiting and retaining high-quality providers to expand our capacity and enhance service quality.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