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Comparative Growth Analysis</w:t>
      </w:r>
    </w:p>
    <w:p/>
    <w:p>
      <w:pPr>
        <w:pStyle w:val="Heading2"/>
      </w:pPr>
      <w:r>
        <w:t>Introduction</w:t>
      </w:r>
    </w:p>
    <w:p/>
    <w:p>
      <w:r>
        <w:t>As MediConn continues to evolve in the virtual healthcare landscape, it is crucial to understand our growth rate compared to other entities in the same industry. This document provides a detailed analysis of MediConn’s growth rate vis-a-vis its competitors. The aim is to identify areas of strength, opportunities for improvement, and strategies for future growth.</w:t>
      </w:r>
    </w:p>
    <w:p/>
    <w:p>
      <w:pPr>
        <w:pStyle w:val="Heading2"/>
      </w:pPr>
      <w:r>
        <w:t>Overview of the Virtual Healthcare Market</w:t>
      </w:r>
    </w:p>
    <w:p/>
    <w:p>
      <w:r>
        <w:t>The Canadian virtual healthcare market has seen remarkable changes over the past few years. With the introduction of new regulations in 2019, there has been an increase in the number of providers offering remote healthcare services. The industry has expanded by 30% annually, with a projected value of $2 billion by 2023.</w:t>
      </w:r>
    </w:p>
    <w:p/>
    <w:p>
      <w:pPr>
        <w:pStyle w:val="Heading2"/>
      </w:pPr>
      <w:r>
        <w:t>Growth Strategies of Top Virtual Healthcare Providers</w:t>
      </w:r>
    </w:p>
    <w:p/>
    <w:p>
      <w:r>
        <w:t>Top virtual healthcare providers focus on innovation, customer experience, and partnerships. They prioritize developing cutting-edge technologies to improve patient outcomes. Furthermore, providers are aligning with the needs of patients and healthcare organizations, constantly innovating their service models.</w:t>
      </w:r>
    </w:p>
    <w:p/>
    <w:p>
      <w:pPr>
        <w:pStyle w:val="Heading2"/>
      </w:pPr>
      <w:r>
        <w:t>MediConn's Performance and Competitive Positioning</w:t>
      </w:r>
    </w:p>
    <w:p/>
    <w:p>
      <w:r>
        <w:t>MediConn Solutions has solidified its position as a competitive player in the industry. With its proprietary technology and patient-centric approach, the company has been able to establish partnerships with several healthcare organizations. It has also received a number of healthcare innovation awards in the past two years.</w:t>
      </w:r>
    </w:p>
    <w:p/>
    <w:p>
      <w:pPr>
        <w:pStyle w:val="Heading2"/>
      </w:pPr>
      <w:r>
        <w:t>Conclusion</w:t>
      </w:r>
    </w:p>
    <w:p/>
    <w:p>
      <w:r>
        <w:t>Comprehensively understanding MediConn's growth rate in comparison to other virtual healthcare services in Canada provides crucial insights for strategic planning. Leveraging our strengths and addressing areas of improvement will be key to maintaining and enhancing our competitive positioning. The findings of this report should guide our next steps in growth strategy formulation and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