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Anomaly Detection Integration Plan</w:t>
      </w:r>
    </w:p>
    <w:p/>
    <w:p>
      <w:pPr>
        <w:pStyle w:val="Heading2"/>
      </w:pPr>
      <w:r>
        <w:t>Introduction</w:t>
      </w:r>
    </w:p>
    <w:p/>
    <w:p>
      <w:r>
        <w:t>As Canada strengthens its cyber resilience under the 2025 Cyber Security Cooperation Program (CSCP), MediConn Solutions must also adapt to the evolving landscape of cyber threats. This document outlines considerations for integrating a new AI anomaly detection tool into our existing infrastructure by Q3 2026. The aim is to enhance our cyber defenses without disrupting the critical healthcare services we provide.</w:t>
      </w:r>
    </w:p>
    <w:p/>
    <w:p>
      <w:pPr>
        <w:pStyle w:val="Heading2"/>
      </w:pPr>
      <w:r>
        <w:t>Potential Impact on Healthcare Service Continuity</w:t>
      </w:r>
    </w:p>
    <w:p/>
    <w:p>
      <w:r>
        <w:t>In 2025, MediConn’s uptime was 99.8%, demonstrating our commitment to uninterrupted healthcare services. We have a robust disaster recovery plan in place, with twice-annual tests and drills. Our IT team ensures that all system updates are performed during off-peak hours to prevent service disruption.</w:t>
      </w:r>
    </w:p>
    <w:p/>
    <w:p>
      <w:pPr>
        <w:pStyle w:val="Heading2"/>
      </w:pPr>
      <w:r>
        <w:t>Evaluation of Current Cybersecurity Infrastructure</w:t>
      </w:r>
    </w:p>
    <w:p/>
    <w:p>
      <w:r>
        <w:t>As part of MediConn's ongoing commitment to cybersecurity, our infrastructure currently utilizes several AI tools to detect and mitigate anomalies. We leverage blockchain technology for secure transactions and data storage, while predictive analytics tools are used to proactively identify potential threats. Our AI-driven virtual assistants serve as an additional layer of defense, providing real-time threat identification and response. Moreover, we have integrated platforms like Sophos and Microsoft Security Copilot into our security architecture to enhance our ability to detect and respond to cyber threats.</w:t>
      </w:r>
    </w:p>
    <w:p/>
    <w:p>
      <w:pPr>
        <w:pStyle w:val="Heading2"/>
      </w:pPr>
      <w:r>
        <w:t>AI Anomaly Detection Tool Integration Strategy</w:t>
      </w:r>
    </w:p>
    <w:p/>
    <w:p>
      <w:r>
        <w:t>The implementation of AI tools in our cybersecurity framework is a part of our 2026 digital transformation strategy. In Q2 2026, we successfully integrated an AI-powered phishing detection tool that has significantly reduced the number of successful phishing attempts. We are consistently exploring innovative AI solutions to enhance our cybersecurity.</w:t>
      </w:r>
    </w:p>
    <w:p/>
    <w:p>
      <w:pPr>
        <w:pStyle w:val="Heading2"/>
      </w:pPr>
      <w:r>
        <w:t>Conclusion</w:t>
      </w:r>
    </w:p>
    <w:p/>
    <w:p>
      <w:r>
        <w:t>The integration of a new AI anomaly detection tool will not only align MediConn with Canada’s CSCP but also strengthen our overall cyber resilience. Careful evaluation of our current infrastructure and strategic integration planning will ensure minimal disruption to our healthcare services. Continued vigilance in the face of evolving cyber threats is essential. Next steps include a detailed assessment of potential AI tools and the development of a comprehensive integration timeline.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