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Anomaly Detection: Cyber Resilience Enhancement</w:t>
      </w:r>
    </w:p>
    <w:p/>
    <w:p>
      <w:pPr>
        <w:pStyle w:val="Heading2"/>
      </w:pPr>
      <w:r>
        <w:t>Introduction</w:t>
      </w:r>
    </w:p>
    <w:p/>
    <w:p>
      <w:r>
        <w:t>As MediConn Solutions continues to strengthen its cyber resilience, in line with the 2025 Cyber Security Cooperation Program, the integration of AI anomaly detection tools into our existing infrastructure is paramount. This document aims to outline the key considerations for this integration, ensuring no disruption to our critical healthcare services. It will explore potential challenges, necessary precautions, and propose a strategic implementation timeline.</w:t>
      </w:r>
    </w:p>
    <w:p/>
    <w:p>
      <w:pPr>
        <w:pStyle w:val="Heading2"/>
      </w:pPr>
      <w:r>
        <w:t>Strategic Assessment of Existing Infrastructure</w:t>
      </w:r>
    </w:p>
    <w:p/>
    <w:p>
      <w:r>
        <w:t>As we approach the end of Q4 2025, a comprehensive review of MediConn's essential security infrastructure, including firewalls, Identity Access Management (IAM) and Security Information and Event Management (SIEM) systems, reveals that they are moderately prepared for integration with our planned AI anomaly detection tool. Roughly a third to just under half of these components are currently compatible with our AI infrastructure. The moderate readiness level underscores the need for strategic preparation and phased integration to ensure service continuity as we aim to strengthen our cyber resilience in line with Canada's 2025 Cyber Security Cooperation Program (CSCP).</w:t>
      </w:r>
    </w:p>
    <w:p/>
    <w:p>
      <w:pPr>
        <w:pStyle w:val="Heading2"/>
      </w:pPr>
      <w:r>
        <w:t>Risk Mitigation Strategies for AI Integration</w:t>
      </w:r>
    </w:p>
    <w:p/>
    <w:p>
      <w:r>
        <w:t>In 2024, MediConn developed a risk mitigation framework for AI integration that focused on staff training and data privacy. We successfully integrated AI into our diagnostic tools, reducing errors by 15%. The AI integration did not impact our HIPAA compliance and improved patient data security.</w:t>
      </w:r>
    </w:p>
    <w:p/>
    <w:p>
      <w:pPr>
        <w:pStyle w:val="Heading2"/>
      </w:pPr>
      <w:r>
        <w:t>Timeline for Non-disruptive AI Implementation</w:t>
      </w:r>
    </w:p>
    <w:p/>
    <w:p>
      <w:r>
        <w:t>When we launched our remote patient monitoring solution in Q2 2023, it took approximately six months for full integration. During this period, we saw a 10% dip in productivity, which was countered by a 25% increase post-integration. Our healthcare services were not significantly disrupted during this period.</w:t>
      </w:r>
    </w:p>
    <w:p/>
    <w:p>
      <w:pPr>
        <w:pStyle w:val="Heading2"/>
      </w:pPr>
      <w:r>
        <w:t>Conclusion</w:t>
      </w:r>
    </w:p>
    <w:p/>
    <w:p>
      <w:r>
        <w:t>The successful integration of AI anomaly detection tools is crucial to bolstering MediConn's cyber resilience. It requires a thorough assessment of our existing infrastructure, robust risk mitigation strategies, and a carefully planned implementation timeline. Following this outline should ensure a seamless integration process that maintains the continuity of our critical healthcare services. Further steps will involve engaging key stakeholders for the approval and execution of this initiative.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