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AI Anomaly Detection: Cybersecurity Integration Plan</w:t>
      </w:r>
    </w:p>
    <w:p/>
    <w:p>
      <w:pPr>
        <w:pStyle w:val="Heading2"/>
      </w:pPr>
      <w:r>
        <w:t>Introduction</w:t>
      </w:r>
    </w:p>
    <w:p/>
    <w:p>
      <w:r>
        <w:t>As part of our ongoing efforts to bolster MediConn's cybersecurity infrastructure in accordance with Canada’s new 2025 Cyber Security Cooperation Program (CSCP), this document outlines key considerations for integrating an AI anomaly detection tool by Q3 2026. Our primary focus remains to enhance our defenses against evolving cyber threats without disrupting the critical healthcare services that we provide. This integration will require careful planning, rigorous testing, and collaboration across departments.</w:t>
      </w:r>
    </w:p>
    <w:p/>
    <w:p>
      <w:pPr>
        <w:pStyle w:val="Heading2"/>
      </w:pPr>
      <w:r>
        <w:t>Mitigating Disruption Risks During Integration</w:t>
      </w:r>
    </w:p>
    <w:p/>
    <w:p>
      <w:r>
        <w:t>During the integration of a new software solution in Q2 of 2022, we encountered unexpected system downtime, resulting in a 5% decrease in productivity for that quarter. To mitigate disruption risks, we started conducting comprehensive system testing, prepared rollback plans, and ensured cross-departmental communication. We have since seen a significant decrease in the impact of software integrations on our critical operations.</w:t>
      </w:r>
    </w:p>
    <w:p/>
    <w:p>
      <w:pPr>
        <w:pStyle w:val="Heading2"/>
      </w:pPr>
      <w:r>
        <w:t>Compliance with CSCP Guidelines and Regulations</w:t>
      </w:r>
    </w:p>
    <w:p/>
    <w:p>
      <w:r>
        <w:t>MediConn has a robust compliance program to ensure adherence to all relevant regulations. In 2021, we successfully passed a CSCP audit which scrutinized our data protection measures, incident response plan, and overall cybersecurity strategy. We're committed to ensuring continuous compliance and have set quarterly compliance reviews led by our internal audit team.</w:t>
      </w:r>
    </w:p>
    <w:p/>
    <w:p>
      <w:pPr>
        <w:pStyle w:val="Heading2"/>
      </w:pPr>
      <w:r>
        <w:t>Understanding AI Anomaly Detection Capabilities</w:t>
      </w:r>
    </w:p>
    <w:p/>
    <w:p>
      <w:r>
        <w:t>As we approach the critical phase of integrating AI anomaly detection tool into our existing infrastructure, it is important to note that this process is slated to commence in March 2026. This timeline is strategically drawn out to span approximately 6-7 months, which is in line with the industry standard for similar integrations. This provides our development team with the necessary runway to ensure a seamless integration while also maintaining pace to meet the Q3 2026 deadline. It is essential that we adhere to this schedule to mitigate disruptions to our vital healthcare services.</w:t>
      </w:r>
    </w:p>
    <w:p/>
    <w:p>
      <w:pPr>
        <w:pStyle w:val="Heading2"/>
      </w:pPr>
      <w:r>
        <w:t>Conclusion</w:t>
      </w:r>
    </w:p>
    <w:p/>
    <w:p>
      <w:r>
        <w:t>Integrating an AI anomaly detection tool into our existing infrastructure presents an opportunity to significantly improve MediConn's cybersecurity resilience. It is vital to ensure that this process is carried out carefully, with consideration given to potential disruptions, and in full compliance with CSCP guidelines. Following the considerations outlined in this document, we can ensure a successful integration by Q3 2026. Further discussions will be needed to establish a detailed action plan.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