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Integrating AI Anomaly Detection: A Cybersecurity Approach</w:t>
      </w:r>
    </w:p>
    <w:p/>
    <w:p>
      <w:pPr>
        <w:pStyle w:val="Heading2"/>
      </w:pPr>
      <w:r>
        <w:t>Introduction</w:t>
      </w:r>
    </w:p>
    <w:p/>
    <w:p>
      <w:r>
        <w:t>As MediConn Solutions works towards strengthening its cyber resilience, the integration of an AI anomaly detection tool is a critical step. Ensuring this tool is seamlessly integrated into our existing infrastructure without disrupting healthcare services is paramount. This document outlines the strategic considerations and potential challenges for this integration, in alignment with Canada's 2025 Cyber Security Cooperation Program (CSCP).</w:t>
      </w:r>
    </w:p>
    <w:p/>
    <w:p>
      <w:pPr>
        <w:pStyle w:val="Heading2"/>
      </w:pPr>
      <w:r>
        <w:t>AI Anomaly Detection Integration Strategy</w:t>
      </w:r>
    </w:p>
    <w:p/>
    <w:p>
      <w:r>
        <w:t>Implementing AI-based anomaly detection into our cybersecurity framework will involve cooperation from multiple departments. Our IT team will be responsible for the technical aspects while the HR department will organize the necessary training programs. The procurement team will assist with vendor negotiations and financial planning.</w:t>
      </w:r>
    </w:p>
    <w:p/>
    <w:p>
      <w:pPr>
        <w:pStyle w:val="Heading2"/>
      </w:pPr>
      <w:r>
        <w:t>Assessment of Current Cybersecurity Infrastructure</w:t>
      </w:r>
    </w:p>
    <w:p/>
    <w:p>
      <w:r>
        <w:t>Our plan for integrating the AI anomaly detection tool into MediConn's infrastructure is structured into five clearly defined stages. The initial phase involves a comprehensive assessment of the current cybersecurity landscape. Next, we will design an integration blueprint that aligns with MediConn's operational needs and regulatory requirements. The third phase will entail a pilot test to ensure seamless integration and minimal disruption to healthcare services. We will then proceed to full-scale deployment, followed by rigorous post-deployment validation to confirm the system's functionality and resilience. This methodology helps us to structure our project timeline efficiently, guaranteeing that each stage is completed in sequence, and that we meet our integration deadline of Q3 2026.</w:t>
      </w:r>
    </w:p>
    <w:p/>
    <w:p>
      <w:pPr>
        <w:pStyle w:val="Heading2"/>
      </w:pPr>
      <w:r>
        <w:t>Mitigation Strategies for Potential Service Disruptions</w:t>
      </w:r>
    </w:p>
    <w:p/>
    <w:p>
      <w:r>
        <w:t>Service disruptions can be caused by various factors including technical glitches, cybersecurity incidents, and human errors. In 2019, MediConn experienced a 2% increase in unplanned service disruptions. To mitigate these, we have developed a comprehensive disaster recovery plan and increased our IT support staff by 15%.</w:t>
      </w:r>
    </w:p>
    <w:p/>
    <w:p>
      <w:pPr>
        <w:pStyle w:val="Heading2"/>
      </w:pPr>
      <w:r>
        <w:t>Conclusion</w:t>
      </w:r>
    </w:p>
    <w:p/>
    <w:p>
      <w:r>
        <w:t>Successfully integrating an AI anomaly detection tool into MediConn's existing infrastructure is a strategic move towards enhancing our cybersecurity resilience. Careful assessment of our current infrastructure and robust planning for potential disruptions will be vital steps in this process. As we align with the 2025 CSCP, the focus should remain on maintaining the integrity of our critical healthcare services. Further steps will involve detailed risk assessments and stakeholder communication.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