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Warehouse Analysis Q4 2025</w:t>
      </w:r>
    </w:p>
    <w:p/>
    <w:p>
      <w:pPr>
        <w:pStyle w:val="Heading2"/>
      </w:pPr>
      <w:r>
        <w:t>Introduction</w:t>
      </w:r>
    </w:p>
    <w:p/>
    <w:p>
      <w:r>
        <w:t>This report provides a comprehensive analysis of Lee's Market warehouse distribution across British Columbia, as of Q4 2025. It aims to offer insight into the company's current inventory management capacity, strategic distribution planning, and future expansion possibilities. This evaluation is crucial for our ongoing logistics efficiency and cost management.</w:t>
      </w:r>
    </w:p>
    <w:p/>
    <w:p>
      <w:pPr>
        <w:pStyle w:val="Heading2"/>
      </w:pPr>
      <w:r>
        <w:t>Overview of Warehouse Distribution</w:t>
      </w:r>
    </w:p>
    <w:p/>
    <w:p>
      <w:r>
        <w:t>Over the years, Lee's Market has improved its warehouse distribution system, implementing state-of-the-art technology to enhance efficiency. As of Q2 2023, we have seen a 15% increase in order fulfillment speed, facilitating faster turnaround times. Our distribution centers, strategically located near major transport routes, allow for seamless delivery to our retail outlets.</w:t>
      </w:r>
    </w:p>
    <w:p/>
    <w:p>
      <w:pPr>
        <w:pStyle w:val="Heading2"/>
      </w:pPr>
      <w:r>
        <w:t>Analysis of Current Warehouse Utilization</w:t>
      </w:r>
    </w:p>
    <w:p/>
    <w:p>
      <w:r>
        <w:t>In terms of warehouse utilization, Lee's Market continually strives for optimization. As of Q1 2025, our warehouse utilization rate is at 87%, a 5% increase from the previous year. Our operations team is working tirelessly to maximize space by implementing innovative storage solutions and efficient inventory management practices.</w:t>
      </w:r>
    </w:p>
    <w:p/>
    <w:p>
      <w:pPr>
        <w:pStyle w:val="Heading2"/>
      </w:pPr>
      <w:r>
        <w:t>Warehouse Expansion Strategy</w:t>
      </w:r>
    </w:p>
    <w:p/>
    <w:p>
      <w:r>
        <w:t>Lee's Market is committed to expanding its reach and improving customer service. In 2024, we increased our investment in the warehouse infrastructure by 20% to support future growth. Our expansion strategy involves careful market analysis and consideration of various factors such as consumer demand, logistical feasibility, and local regulatory requirements.</w:t>
      </w:r>
    </w:p>
    <w:p/>
    <w:p>
      <w:pPr>
        <w:pStyle w:val="Heading2"/>
      </w:pPr>
      <w:r>
        <w:t>Conclusion</w:t>
      </w:r>
    </w:p>
    <w:p/>
    <w:p>
      <w:r>
        <w:t>In conclusion, Lee's Market is well-positioned in terms of warehouse distribution across British Columbia. The current utilization of our warehouses indicates efficient inventory management. However, continuous monitoring and strategic planning are necessary for future growth and to maintain logistical efficiency. Further warehouse expansion should align with market trends and customer demand.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