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Dragon Fruit Sales Report</w:t>
      </w:r>
    </w:p>
    <w:p/>
    <w:p>
      <w:pPr>
        <w:pStyle w:val="Heading2"/>
      </w:pPr>
      <w:r>
        <w:t>Introduction</w:t>
      </w:r>
    </w:p>
    <w:p/>
    <w:p>
      <w:r>
        <w:t>This report provides a thorough analysis of the dragon fruit sales performance across all Lee's Market stores in British Columbia for Q1 2025. As a key exotic product offering, understanding the revenue generated by dragon fruit sales is integral for our strategic planning. The report will present an overview of sales performance, examine relevant market trends, and outline operational factors impacting sales.</w:t>
      </w:r>
    </w:p>
    <w:p/>
    <w:p>
      <w:pPr>
        <w:pStyle w:val="Heading2"/>
      </w:pPr>
      <w:r>
        <w:t>Overview of Q1 2025 Sales Performance</w:t>
      </w:r>
    </w:p>
    <w:p/>
    <w:p>
      <w:r>
        <w:t>Lee's Market saw a significant increase in sales performance in Q1 2025. Our sales team managed to sell a record-breaking 1.2 million units of various products. The bakery department had the highest increase in sales with a 20% upsurge compared to Q4 2024.</w:t>
      </w:r>
    </w:p>
    <w:p/>
    <w:p>
      <w:pPr>
        <w:pStyle w:val="Heading2"/>
      </w:pPr>
      <w:r>
        <w:t>Market Trends and Consumer Preferences</w:t>
      </w:r>
    </w:p>
    <w:p/>
    <w:p>
      <w:r>
        <w:t>Consumer preferences shifted towards organic and locally sourced products in Q1 2025. Interestingly, there was a 15% increase in the demand for gluten-free bakery items. The trend towards plant-based diets also continued to gain traction.</w:t>
      </w:r>
    </w:p>
    <w:p/>
    <w:p>
      <w:pPr>
        <w:pStyle w:val="Heading2"/>
      </w:pPr>
      <w:r>
        <w:t>Operational Factors Influencing Sales</w:t>
      </w:r>
    </w:p>
    <w:p/>
    <w:p>
      <w:r>
        <w:t>Operational improvements in supply chain efficiency contributed significantly to our Q1 2025 sales performance. A new inventory management system was implemented, reducing stockouts by 30%. Our partnership with local suppliers also strengthened, ensuring fresh produce availability throughout the year.</w:t>
      </w:r>
    </w:p>
    <w:p/>
    <w:p>
      <w:pPr>
        <w:pStyle w:val="Heading2"/>
      </w:pPr>
      <w:r>
        <w:t>Conclusion</w:t>
      </w:r>
    </w:p>
    <w:p/>
    <w:p>
      <w:r>
        <w:t>Our understanding of dragon fruit sales during Q1 2025 provides valuable insights for our future business strategy. The correlation between market trends and our sales performance underscores the importance of ongoing market observation. Considering the operational factors highlighted, we can further optimize our supply chain and store management. Let's continue to leverage these insights to maximize our revenue generation from dragon fruit sales.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