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Dragon Fruit Sales Analysis</w:t>
      </w:r>
    </w:p>
    <w:p/>
    <w:p>
      <w:pPr>
        <w:pStyle w:val="Heading2"/>
      </w:pPr>
      <w:r>
        <w:t>Introduction</w:t>
      </w:r>
    </w:p>
    <w:p/>
    <w:p>
      <w:r>
        <w:t>This document presents a detailed analysis of dragon fruit sales across all Lee's Market stores in British Columbia during Q1 2025. It aims to provide an understanding of the revenue generated from these sales, as well as relevant market trends and consumer behavior. These insights are crucial for strategizing our future sales and marketing initiatives.</w:t>
      </w:r>
    </w:p>
    <w:p/>
    <w:p>
      <w:pPr>
        <w:pStyle w:val="Heading2"/>
      </w:pPr>
      <w:r>
        <w:t>Q1 2025 Overall Fruit Sales Performance</w:t>
      </w:r>
    </w:p>
    <w:p/>
    <w:p>
      <w:r>
        <w:t>In Q1 2025, Lee's Market saw a strong performance in the fruit department. The overall sales of fruits increased by 8% compared to the previous quarter, with a significant contribution from citrus fruits. Our newly launched organic fruit section also saw an encouraging start with a 5% contribution to the total fruit sales.</w:t>
      </w:r>
    </w:p>
    <w:p/>
    <w:p>
      <w:pPr>
        <w:pStyle w:val="Heading2"/>
      </w:pPr>
      <w:r>
        <w:t>Dragon Fruit Sales: Detailed Breakdown</w:t>
      </w:r>
    </w:p>
    <w:p/>
    <w:p>
      <w:r>
        <w:t>Analysing the dragon fruit sales, there was an interesting trend in customer preference towards imported varieties. The dragon fruits sourced from Vietnam showed a sales increase of 12% in Q1 2025. Our efforts in promoting these fruits through in-store tastings have proven effective.</w:t>
      </w:r>
    </w:p>
    <w:p/>
    <w:p>
      <w:pPr>
        <w:pStyle w:val="Heading2"/>
      </w:pPr>
      <w:r>
        <w:t>Consumer Buying Behaviour for Exotic Fruits</w:t>
      </w:r>
    </w:p>
    <w:p/>
    <w:p>
      <w:r>
        <w:t>In Q1 2025, we witnessed a growing interest from consumers towards exotic fruits. Our surveys indicated a 25% increase in consumers who expressed interest in trying new and exotic fruits. Our consumer education initiatives like 'Exotic Fruit of the Week' have been well received.</w:t>
      </w:r>
    </w:p>
    <w:p/>
    <w:p>
      <w:pPr>
        <w:pStyle w:val="Heading2"/>
      </w:pPr>
      <w:r>
        <w:t>Conclusion</w:t>
      </w:r>
    </w:p>
    <w:p/>
    <w:p>
      <w:r>
        <w:t>Dragon fruit sales in Q1 2025 indicate a promising trend for exotic fruit demand in our stores. We should capitalize on this opportunity by enhancing our marketing efforts and diversifying our exotic fruit offerings. Further research could provide insights on seasonal preferences for these fruits. Let's continue to monitor and adapt our strategies based on consumer buying patterns.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