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Toronto Store Furniture Expenditure Review</w:t>
      </w:r>
    </w:p>
    <w:p/>
    <w:p>
      <w:pPr>
        <w:pStyle w:val="Heading2"/>
      </w:pPr>
      <w:r>
        <w:t>Introduction</w:t>
      </w:r>
    </w:p>
    <w:p/>
    <w:p>
      <w:r>
        <w:t>This document provides a comprehensive assessment of the furniture expenditure associated with the Toronto branch of Lee's Market in 2024. It is crucial to understand our spending patterns to enable strategic planning for future store setups. This report includes an analysis of the cost distribution, comparisons with other branches, and a discussion on vendor relationships.</w:t>
      </w:r>
    </w:p>
    <w:p/>
    <w:p>
      <w:pPr>
        <w:pStyle w:val="Heading2"/>
      </w:pPr>
      <w:r>
        <w:t>Distribution of Furniture Expenditure</w:t>
      </w:r>
    </w:p>
    <w:p/>
    <w:p>
      <w:r>
        <w:t>In the broader context of Lee's Market, the distribution of furniture expenditure in 2024 was allocated distinctly across various departments. For example, 40% of the total furniture budget was assigned to the administration department, while 30% was allocated to the sales department. The remaining portion was distributed among other departments including customer service, and logistics.</w:t>
      </w:r>
    </w:p>
    <w:p/>
    <w:p>
      <w:pPr>
        <w:pStyle w:val="Heading2"/>
      </w:pPr>
      <w:r>
        <w:t>Comparison with Other Branches' Expenditure</w:t>
      </w:r>
    </w:p>
    <w:p/>
    <w:p>
      <w:r>
        <w:t>In terms of expenditures, our Vancouver branch has seen an increase of 15% in operational costs compared to the previous year, 2023. Meanwhile, the Montreal branch has managed to reduce its total expenses by around 5% in the same period. These variations are due to a multitude of factors such as changes in local market conditions and operational efficiency improvements.</w:t>
      </w:r>
    </w:p>
    <w:p/>
    <w:p>
      <w:pPr>
        <w:pStyle w:val="Heading2"/>
      </w:pPr>
      <w:r>
        <w:t>Vendor Analysis and Relationships</w:t>
      </w:r>
    </w:p>
    <w:p/>
    <w:p>
      <w:r>
        <w:t>Our long-term relationship with our primary furniture vendor, Maple Leaf Furnishings, has proven advantageous in terms of both pricing and quality. In 2024, we renewed our contract for another three years, ensuring stability in our supply chain. Moreover, we added two new vendors to diversify our supply and mitigate risk.</w:t>
      </w:r>
    </w:p>
    <w:p/>
    <w:p>
      <w:pPr>
        <w:pStyle w:val="Heading2"/>
      </w:pPr>
      <w:r>
        <w:t>Conclusion</w:t>
      </w:r>
    </w:p>
    <w:p/>
    <w:p>
      <w:r>
        <w:t>In conclusion, understanding our furniture expenditure for the Toronto branch offers valuable insights into our spending habits and vendor relationships. These findings provide a basis for financial planning for future store setups and potential areas of cost-saving. We recommend further analysis on a quarterly basis to track expenditure trends and vendor performance.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