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Toronto Store Furniture Expenditure Analysis</w:t>
      </w:r>
    </w:p>
    <w:p/>
    <w:p>
      <w:pPr>
        <w:pStyle w:val="Heading2"/>
      </w:pPr>
      <w:r>
        <w:t>Introduction</w:t>
      </w:r>
    </w:p>
    <w:p/>
    <w:p>
      <w:r>
        <w:t>This document provides an analysis of the expenditure on furniture for our Toronto store in 2024. It aims to give a clear picture of the costs involved, the return on investment, and how it compares with other Lee's Market outlets. This will assist in making informed decisions on future furniture purchases and investments.</w:t>
      </w:r>
    </w:p>
    <w:p/>
    <w:p>
      <w:pPr>
        <w:pStyle w:val="Heading2"/>
      </w:pPr>
      <w:r>
        <w:t>2024 Furniture Expenditure Breakdown</w:t>
      </w:r>
    </w:p>
    <w:p/>
    <w:p>
      <w:r>
        <w:t>The 2024 fiscal year saw a significant shift in our approach to store aesthetics. We focused on integrating sustainable materials into our store designs which required a higher initial investment. Our Vancouver store saw a 15% increase in material costs due to these changes.</w:t>
      </w:r>
    </w:p>
    <w:p/>
    <w:p>
      <w:pPr>
        <w:pStyle w:val="Heading2"/>
      </w:pPr>
      <w:r>
        <w:t>Comparison with Other Store Furniture Investments</w:t>
      </w:r>
    </w:p>
    <w:p/>
    <w:p>
      <w:r>
        <w:t>In 2024, our Montreal store underwent a complete revamp, with an overall investment surpassing previous store upgrades by 20%. This was largely due to the incorporation of cutting-edge digital displays and interactive customer engagement tools.</w:t>
      </w:r>
    </w:p>
    <w:p/>
    <w:p>
      <w:pPr>
        <w:pStyle w:val="Heading2"/>
      </w:pPr>
      <w:r>
        <w:t>Return on Investment Analysis</w:t>
      </w:r>
    </w:p>
    <w:p/>
    <w:p>
      <w:r>
        <w:t>The ROI analysis for our Ottawa store's 2024 upgrade revealed a 10% increase in customer footfall post-renovation. The improved layout and addition of self-checkout kiosks were key factors in this positive outcome.</w:t>
      </w:r>
    </w:p>
    <w:p/>
    <w:p>
      <w:pPr>
        <w:pStyle w:val="Heading2"/>
      </w:pPr>
      <w:r>
        <w:t>Conclusion</w:t>
      </w:r>
    </w:p>
    <w:p/>
    <w:p>
      <w:r>
        <w:t>The furniture expenditure for the Toronto store in 2024 was significant and has greatly influenced the store's aesthetics and customer experience. A comparison with other outlets shows a higher investment, which is reflected in the store's performance. For future investments, a detailed analysis of the return on investment should be considered to optimize spending and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