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Expansion Strategy for Canadian Indian Demographic</w:t>
      </w:r>
    </w:p>
    <w:p/>
    <w:p>
      <w:pPr>
        <w:pStyle w:val="Heading2"/>
      </w:pPr>
      <w:r>
        <w:t>Introduction</w:t>
      </w:r>
    </w:p>
    <w:p/>
    <w:p>
      <w:r>
        <w:t>As we continue to expand Lee's Market's footprint, we are keen to tap into the growing Indian community in Canada. This report aims to identify the most favorable city for our next grocery store that will primarily cater to this demographic. The insights gained will help inform our business development strategies and potential partnership opportunities.</w:t>
      </w:r>
    </w:p>
    <w:p/>
    <w:p>
      <w:pPr>
        <w:pStyle w:val="Heading2"/>
      </w:pPr>
      <w:r>
        <w:t>Demographic Analysis of Indian Community in Canada</w:t>
      </w:r>
    </w:p>
    <w:p/>
    <w:p>
      <w:r>
        <w:t>In 2015, the Indian community was one of the fastest-growing demographic groups in Canada, with a growth rate of 18%. However, the Indian community's growth has been unevenly distributed, with significant concentrations in major urban areas. Notably, Vancouver and Toronto have seen significant increases in their Indian populations.</w:t>
      </w:r>
    </w:p>
    <w:p/>
    <w:p>
      <w:pPr>
        <w:pStyle w:val="Heading2"/>
      </w:pPr>
      <w:r>
        <w:t>Retail Market Dynamics in Potential Cities</w:t>
      </w:r>
    </w:p>
    <w:p/>
    <w:p>
      <w:r>
        <w:t>In 2020, the retail market in Canadian cities like Montreal and Winnipeg showed a steady increase in average sales per square foot. The retail sector in these cities was predominantly driven by the food and beverage industry, which accounted for 35% of total retail sales. Meanwhile, the clothing and accessories sector held a 25% share.</w:t>
      </w:r>
    </w:p>
    <w:p/>
    <w:p>
      <w:pPr>
        <w:pStyle w:val="Heading2"/>
      </w:pPr>
      <w:r>
        <w:t>Optimal Location for Lee's Market Expansion</w:t>
      </w:r>
    </w:p>
    <w:p/>
    <w:p>
      <w:r>
        <w:t>In 2023, Lee's Market identified Calgary as a potential city for expansion due to its strong economy and growing population. The company started a comprehensive feasibility study, including an analysis of the local competition, potential customer base, and the availability of commercial real estate. The results of this study are expected in the first quarter of 2024.</w:t>
      </w:r>
    </w:p>
    <w:p/>
    <w:p>
      <w:pPr>
        <w:pStyle w:val="Heading2"/>
      </w:pPr>
      <w:r>
        <w:t>Conclusion</w:t>
      </w:r>
    </w:p>
    <w:p/>
    <w:p>
      <w:r>
        <w:t>Our analysis suggests a significant opportunity to serve the Indian community in Canada, with certain cities showing higher potential than others. The next steps would involve conducting a feasibility study for the identified location and developing a tailored marketing strategy. We recommend that the management considers this analysis in their decision-making process for store expansion.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