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Young Consumer Engagement Strategy Q1 2026</w:t>
      </w:r>
    </w:p>
    <w:p/>
    <w:p>
      <w:pPr>
        <w:pStyle w:val="Heading2"/>
      </w:pPr>
      <w:r>
        <w:t>Introduction</w:t>
      </w:r>
    </w:p>
    <w:p/>
    <w:p>
      <w:r>
        <w:t>As Lee's Market continues to expand its digital footprint, it is essential to focus on growing our online sales, particularly among the younger demographic. This document outlines a strategic approach to increase our online sales by 20% by Q1 2026. It focuses on understanding our target market, the competitive landscape, and designing a differentiated strategy to engage and convert younger consumers.</w:t>
      </w:r>
    </w:p>
    <w:p/>
    <w:p>
      <w:pPr>
        <w:pStyle w:val="Heading2"/>
      </w:pPr>
      <w:r>
        <w:t>Competitive Analysis and Market Differentiation</w:t>
      </w:r>
    </w:p>
    <w:p/>
    <w:p>
      <w:r>
        <w:t>Our competitors have been investing heavily in their physical store presence, with a focus on creating immersive and interactive shopping experiences. Major players have seen a 15% increase in foot traffic after implementing these strategies. However, our company has maintained steady growth without resorting to such tactics.</w:t>
      </w:r>
    </w:p>
    <w:p/>
    <w:p>
      <w:pPr>
        <w:pStyle w:val="Heading2"/>
      </w:pPr>
      <w:r>
        <w:t>Understanding the Young Consumer Behaviour</w:t>
      </w:r>
    </w:p>
    <w:p/>
    <w:p>
      <w:r>
        <w:t>In 2025, we identified several key areas of difficulty for our younger audience (18-35 years old) on Lee's Market's online grocery platform. Firstly, the platform struggles with mobile usability, including slow load times and ambiguous navigation. Secondly, users experience friction at the checkout stage, with issues such as address validation and mismatches in payment methods. Thirdly, the platform falls short on personalization, lacking tailored recommendations or loyalty program integration. Finally, inventory visibility problems persist, with stockouts only becoming apparent at checkout, negatively impacting the perceived value and price point.</w:t>
      </w:r>
    </w:p>
    <w:p/>
    <w:p>
      <w:pPr>
        <w:pStyle w:val="Heading2"/>
      </w:pPr>
      <w:r>
        <w:t>Online Sales Growth and Engagement Strategies</w:t>
      </w:r>
    </w:p>
    <w:p/>
    <w:p>
      <w:r>
        <w:t>Our online sales have seen a steady increase over the years, with a 7% increase annually since 2018. Our email marketing campaigns have been effective in driving these sales, with a 20% open rate and a 10% click-through rate. Our most successful campaign was our holiday sales event in 2020, which saw a 15% increase in sales compared to the previous year.</w:t>
      </w:r>
    </w:p>
    <w:p/>
    <w:p>
      <w:pPr>
        <w:pStyle w:val="Heading2"/>
      </w:pPr>
      <w:r>
        <w:t>Conclusion</w:t>
      </w:r>
    </w:p>
    <w:p/>
    <w:p>
      <w:r>
        <w:t>By understanding the purchasing behaviour of younger consumers, analyzing our competitors, and developing distinct online sales strategies, we can achieve our goal of boosting online sales by 20% by Q1 2026. It is crucial to continually refine our approach based on market trends and consumer feedback. The next steps include detailed planning of the proposed strategies and setting up a cross-functional team for effective execution.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