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MediConn FY2025 Office Expenditure Analysis</w:t>
      </w:r>
    </w:p>
    <w:p/>
    <w:p>
      <w:pPr>
        <w:pStyle w:val="Heading2"/>
      </w:pPr>
      <w:r>
        <w:t>Introduction</w:t>
      </w:r>
    </w:p>
    <w:p/>
    <w:p>
      <w:r>
        <w:t>This document provides an in-depth analysis of MediConn Solutions' office lease expenditure for the fiscal year 2025. As a part of our ongoing commitment to cost efficiency and financial transparency, we aim to understand the implications of our expenditure on our overall financial health and operational efficiency. This report will assist in strategic decision-making and planning for future fiscal years.</w:t>
      </w:r>
    </w:p>
    <w:p/>
    <w:p>
      <w:pPr>
        <w:pStyle w:val="Heading2"/>
      </w:pPr>
      <w:r>
        <w:t>Comparison of Office Lease Expenditure Over Years</w:t>
      </w:r>
    </w:p>
    <w:p/>
    <w:p>
      <w:r>
        <w:t>MediConn's lease expenditure trend has been relatively consistent over the past decade. We saw a significant increase in 2018 due to the addition of our new Mississauga satellite office. Since then, the annual growth rate of lease expenditure has remained steady at around 3%.</w:t>
      </w:r>
    </w:p>
    <w:p/>
    <w:p>
      <w:pPr>
        <w:pStyle w:val="Heading2"/>
      </w:pPr>
      <w:r>
        <w:t>Breakdown of FY2025 Office Lease Expenditure</w:t>
      </w:r>
    </w:p>
    <w:p/>
    <w:p>
      <w:r>
        <w:t>It's essential for our finance department to understand the distribution of lease costs. Typically, utilities and maintenance fees account for 30% of our total lease expenditure. The remaining 70% is the cost of the actual lease itself.</w:t>
      </w:r>
    </w:p>
    <w:p/>
    <w:p>
      <w:pPr>
        <w:pStyle w:val="Heading2"/>
      </w:pPr>
      <w:r>
        <w:t>Implications of Office Lease Expenditure on Operational Costs</w:t>
      </w:r>
    </w:p>
    <w:p/>
    <w:p>
      <w:r>
        <w:t>The cost of maintaining physical office spaces impacts our operational costs significantly. This is why we have been steadily increasing our investment in remote work infrastructure. This move helps us reduce our reliance on physical office spaces and, in turn, decrease operational costs.</w:t>
      </w:r>
    </w:p>
    <w:p/>
    <w:p>
      <w:pPr>
        <w:pStyle w:val="Heading2"/>
      </w:pPr>
      <w:r>
        <w:t>Conclusion</w:t>
      </w:r>
    </w:p>
    <w:p/>
    <w:p>
      <w:r>
        <w:t>Understanding the expenditure associated with office leases is critical in optimizing our operational costs and ensuring the financial well-being of MediConn Solutions. In FY2025, we observed certain trends and implications which will guide our future financial strategies. Based on this analysis, we recommend a detailed review of our leasing agreements and exploring possible opportunities for cost reduction. Continued monitoring and regular reporting of such expenditures will enable us to maintain an efficient and cost-effective operational environment.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