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Virtual Consultation Metrics Report</w:t>
      </w:r>
    </w:p>
    <w:p/>
    <w:p>
      <w:pPr>
        <w:pStyle w:val="Heading2"/>
      </w:pPr>
      <w:r>
        <w:t>Introduction</w:t>
      </w:r>
    </w:p>
    <w:p/>
    <w:p>
      <w:r>
        <w:t>This report presents an in-depth analysis of our virtual mental health consultation metrics for Q2 2025, including the average session duration. Understanding these metrics is crucial for our continuous efforts to improve our services. It will also help us identify any existing gaps and trends, thereby enabling us to take necessary measures for improving client satisfaction and overall service efficacy.</w:t>
      </w:r>
    </w:p>
    <w:p/>
    <w:p>
      <w:pPr>
        <w:pStyle w:val="Heading2"/>
      </w:pPr>
      <w:r>
        <w:t>Analysis of Patient Engagement Metrics</w:t>
      </w:r>
    </w:p>
    <w:p/>
    <w:p>
      <w:r>
        <w:t>In Q3 2024, our patient engagement metrics have shown promising results. We noticed a 35% increase in the utilization of our virtual healthcare platform compared to the same quarter in the previous year. Furthermore, patient satisfaction surveys conducted post-consultation revealed that 80% of our patients found the platform easy to use and beneficial for their ongoing healthcare needs.</w:t>
      </w:r>
    </w:p>
    <w:p/>
    <w:p>
      <w:pPr>
        <w:pStyle w:val="Heading2"/>
      </w:pPr>
      <w:r>
        <w:t>Insights into Average Session Duration</w:t>
      </w:r>
    </w:p>
    <w:p/>
    <w:p>
      <w:r>
        <w:t>During Q4 2024, we made significant enhancements to our platform to support longer session durations. We also introduced a new feature that allows patients to request additional time from their healthcare provider during a session. This resulted in an increase in the maximum allowed session duration from 40 to 60 minutes.</w:t>
      </w:r>
    </w:p>
    <w:p/>
    <w:p>
      <w:pPr>
        <w:pStyle w:val="Heading2"/>
      </w:pPr>
      <w:r>
        <w:t>Impact of Session Duration on Patient Outcomes</w:t>
      </w:r>
    </w:p>
    <w:p/>
    <w:p>
      <w:r>
        <w:t>In Q1 2025, we commissioned an internal study to understand the correlation between session duration and patient outcomes. Preliminary findings suggest that longer sessions may lead to improved patient understanding and adherence to prescribed treatment plans. However, the final report on this study is expected in Q3 2025.</w:t>
      </w:r>
    </w:p>
    <w:p/>
    <w:p>
      <w:pPr>
        <w:pStyle w:val="Heading2"/>
      </w:pPr>
      <w:r>
        <w:t>Conclusion</w:t>
      </w:r>
    </w:p>
    <w:p/>
    <w:p>
      <w:r>
        <w:t>The data presented in this report provides a comprehensive overview of our virtual mental health consultation services for Q2 2025. The insights into average session duration, in particular, provide useful information for further improvement. Continued analysis of these metrics will ensure we maintain high levels of patient engagement and satisfaction. Moving forward, we must leverage these insights to enhance our services and make necessary adjustments where needed.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