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Controls for Indigenous Patient Verification</w:t>
      </w:r>
    </w:p>
    <w:p/>
    <w:p>
      <w:pPr>
        <w:pStyle w:val="Heading2"/>
      </w:pPr>
      <w:r>
        <w:t>Introduction</w:t>
      </w:r>
    </w:p>
    <w:p/>
    <w:p>
      <w:r>
        <w:t>In the evolving landscape of remote healthcare, it is crucial to ensure that our platform is both secure and accessible for all patients. For indigenous patients in low-connectivity environments, additional considerations may be necessary to preserve security and ease of use. This document outlines potential enhancements to our platform, focusing on secure authentication and patient verification. The goal is to develop and integrate these controls by Q2 2026.</w:t>
      </w:r>
    </w:p>
    <w:p/>
    <w:p>
      <w:pPr>
        <w:pStyle w:val="Heading2"/>
      </w:pPr>
      <w:r>
        <w:t>Technologies for Secure Authentication in Low-Connectivity Settings</w:t>
      </w:r>
    </w:p>
    <w:p/>
    <w:p>
      <w:r>
        <w:t>MediConn has successfully implemented advanced encryption methods on its platform. As of Q4 2025, 90% of our transactions are protected by 256-bit encryption, one of the highest security standards in the industry. This ensures data integrity even in situations with fluctuating connectivity.</w:t>
      </w:r>
    </w:p>
    <w:p/>
    <w:p>
      <w:pPr>
        <w:pStyle w:val="Heading2"/>
      </w:pPr>
      <w:r>
        <w:t>Special Considerations for Indigenous Patient Verification</w:t>
      </w:r>
    </w:p>
    <w:p/>
    <w:p>
      <w:r>
        <w:t>In 2025, MediConn's platform accommodated about 15,000 Indigenous patients, an increase of 20% from the previous year. However, challenges such as language barriers and limited access to technology persist. We are committed to addressing these issues and improving our services for Indigenous communities.</w:t>
      </w:r>
    </w:p>
    <w:p/>
    <w:p>
      <w:pPr>
        <w:pStyle w:val="Heading2"/>
      </w:pPr>
      <w:r>
        <w:t>Understanding Connectivity Challenges in Remote Regions</w:t>
      </w:r>
    </w:p>
    <w:p/>
    <w:p>
      <w:r>
        <w:t>Our 2024 internal review unveiled a significant issue related to connectivity in geographically distant regions. We discovered a failure rate of approximately 7.4% in successful authentication for patient sessions initiated from these areas. This indicates a potential vulnerability in our current controls, particularly in securely facilitating login mechanisms under digital environments with unstable connectivity. Therefore, it is imperative that we improve our platform's robustness and adaptability to low-connectivity circumstances.</w:t>
      </w:r>
    </w:p>
    <w:p/>
    <w:p>
      <w:pPr>
        <w:pStyle w:val="Heading2"/>
      </w:pPr>
      <w:r>
        <w:t>Conclusion</w:t>
      </w:r>
    </w:p>
    <w:p/>
    <w:p>
      <w:r>
        <w:t>By taking into account the unique circumstances of indigenous patients in low-connectivity environments, MediConn can enhance its platform to better serve these users. The proposed control enhancements will bolster secure authentication and patient verification, fostering trust and promoting wider utilization of our services. As a next step, a detailed feasibility study and a cost-benefit analysis should be undertaken. Implementation plans should commence upon approval to meet our Q2 2026 target.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