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Compliance Controls for Indigenous Patient Verification</w:t>
      </w:r>
    </w:p>
    <w:p/>
    <w:p>
      <w:pPr>
        <w:pStyle w:val="Heading2"/>
      </w:pPr>
      <w:r>
        <w:t>Introduction</w:t>
      </w:r>
    </w:p>
    <w:p/>
    <w:p>
      <w:r>
        <w:t>As MediConn Solutions continues to innovate within the realm of virtual healthcare, it is crucial to ensure the security and accessibility of our platform for all users, especially those in low-connectivity environments. This report focuses on the integration of additional compliance controls to enhance secure authentication and patient verification for Indigenous patients. Our goal is to address the unique challenges faced by this demographic while maintaining alignment with the ever-evolving local and national healthcare regulations.</w:t>
      </w:r>
    </w:p>
    <w:p/>
    <w:p>
      <w:pPr>
        <w:pStyle w:val="Heading2"/>
      </w:pPr>
      <w:r>
        <w:t>Compliance Requirements for Secure Authentication</w:t>
      </w:r>
    </w:p>
    <w:p/>
    <w:p>
      <w:r>
        <w:t>Compliance with secure authentication standards is crucial to protect patient data. In 2024, the Health Insurance Portability and Accountability Act (HIPAA) updated its guidelines to include more stringent requirements for multifactor authentication in healthcare systems. Non-compliance can result in hefty fines and penalties for healthcare organizations.</w:t>
      </w:r>
    </w:p>
    <w:p/>
    <w:p>
      <w:pPr>
        <w:pStyle w:val="Heading2"/>
      </w:pPr>
      <w:r>
        <w:t>Understanding Connectivity Challenges in Remote Areas</w:t>
      </w:r>
    </w:p>
    <w:p/>
    <w:p>
      <w:r>
        <w:t>Our Q3 2025 analytics reveal a significant trend among our Indigenous patient demographic. A substantial 82% of this patient population primarily access MediConn's platform via mobile devices. This insight underscores the importance of optimizing our platform for mobile use, particularly considering the often low-connectivity environments that these patients reside in. The data drives home the need for integrating compliance controls that are specifically designed for secure authentication and patient verification in such contexts.</w:t>
      </w:r>
    </w:p>
    <w:p/>
    <w:p>
      <w:pPr>
        <w:pStyle w:val="Heading2"/>
      </w:pPr>
      <w:r>
        <w:t>Developing Patient Verification Protocols for Indigenous Communities</w:t>
      </w:r>
    </w:p>
    <w:p/>
    <w:p>
      <w:r>
        <w:t>Developing patient verification protocols that respect the cultural sensitivities of indigenous communities is crucial. In 2025, the Canadian government introduced new guidelines to ensure the respectful treatment of indigenous patient data. It's important that healthcare providers adapt their systems to these guidelines to foster trust with indigenous communities.</w:t>
      </w:r>
    </w:p>
    <w:p/>
    <w:p>
      <w:pPr>
        <w:pStyle w:val="Heading2"/>
      </w:pPr>
      <w:r>
        <w:t>Conclusion</w:t>
      </w:r>
    </w:p>
    <w:p/>
    <w:p>
      <w:r>
        <w:t>The integration of additional compliance controls will significantly enhance the security and accessibility of our platform for Indigenous patients in low-connectivity environments. By understanding the unique connectivity challenges, complying with secure authentication requirements, and developing patient verification protocols tailored to Indigenous communities, we can provide an inclusive, secure healthcare experience. It is suggested that these enhancements be fully integrated into the MediConn platform by Q2 2026. By doing so, we will not only improve the quality of healthcare services but also uphold our commitment to inclusivity and compliance.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