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Compliance Control Enhancements for Indigenous Healthcare</w:t>
      </w:r>
    </w:p>
    <w:p/>
    <w:p>
      <w:pPr>
        <w:pStyle w:val="Heading2"/>
      </w:pPr>
      <w:r>
        <w:t>Introduction</w:t>
      </w:r>
    </w:p>
    <w:p/>
    <w:p>
      <w:r>
        <w:t>In response to the increasing demand for remote healthcare access among indigenous patients, particularly in low-connectivity environments, this report explores potential enhancements to our platform's compliance controls. Our focus is on ensuring secure authentication and patient verification, crucial aspects to maintain patient confidentiality and trust. The scope of the report is limited to the changes that can be realistically implemented by Q2 2026.</w:t>
      </w:r>
    </w:p>
    <w:p/>
    <w:p>
      <w:pPr>
        <w:pStyle w:val="Heading2"/>
      </w:pPr>
      <w:r>
        <w:t>Understanding Indigenous Patients' Accessibility Challenges</w:t>
      </w:r>
    </w:p>
    <w:p/>
    <w:p>
      <w:r>
        <w:t>As part of our ongoing commitment to provide accessible and compliant telehealth services for all, we have been closely monitoring our user demographics. Our data shows a significant upward trend in Indigenous patient enrollment, with a projected spike of approximately 35% by 2027. This surge is largely attributed to our efforts in expanding telehealth services in Indigenous regions. However, the expansion also brings forth unique challenges, notably the need for a robust and scalable verification framework that can function optimally even in low-connectivity environments.</w:t>
      </w:r>
    </w:p>
    <w:p/>
    <w:p>
      <w:pPr>
        <w:pStyle w:val="Heading2"/>
      </w:pPr>
      <w:r>
        <w:t>Current Authentication and Patient Verification Measures</w:t>
      </w:r>
    </w:p>
    <w:p/>
    <w:p>
      <w:r>
        <w:t>MediConn's current authentication system relies heavily on biometrics and multi-factor authentication. In 2024, we have seen a 95% success rate in patient verification, with less than 1% of cases requiring manual intervention. Our technology department is continuously working to improve the authentication algorithms and enhance user experience.</w:t>
      </w:r>
    </w:p>
    <w:p/>
    <w:p>
      <w:pPr>
        <w:pStyle w:val="Heading2"/>
      </w:pPr>
      <w:r>
        <w:t>Recommended Compliance Control Enhancements</w:t>
      </w:r>
    </w:p>
    <w:p/>
    <w:p>
      <w:r>
        <w:t>Patients' data privacy and security are of utmost importance. In the past year, MediConn has invested significantly in upgrading our firewall systems and enhancing our risk management strategies. We have also initiated partnerships with several cybersecurity firms to conduct regular audits and ensure our platform is compliant with all relevant regulations.</w:t>
      </w:r>
    </w:p>
    <w:p/>
    <w:p>
      <w:pPr>
        <w:pStyle w:val="Heading2"/>
      </w:pPr>
      <w:r>
        <w:t>Conclusion</w:t>
      </w:r>
    </w:p>
    <w:p/>
    <w:p>
      <w:r>
        <w:t>Incorporating additional compliance controls into our platform will bolster our commitment to providing secure and accessible remote healthcare services to indigenous patients. The proposed enhancements aim to strengthen authentication and patient verification processes, even in low-connectivity environments. Implementing the proposed changes will require thorough planning and coordination across different teams. It is recommended that we commence the planning phase as soon as possible to meet the Q2 2026 timeline.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