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Securing Authentication for Indigenous Patients</w:t>
      </w:r>
    </w:p>
    <w:p/>
    <w:p>
      <w:pPr>
        <w:pStyle w:val="Heading2"/>
      </w:pPr>
      <w:r>
        <w:t>Introduction</w:t>
      </w:r>
    </w:p>
    <w:p/>
    <w:p>
      <w:r>
        <w:t>As MediConn Solutions expands its reach into more remote areas, it is essential to ensure secure authentication and patient verification, especially for Indigenous patients in low-connectivity environments. This document outlines the additional compliance controls to be integrated into our platform by Q2 2026. It will address the need for innovative solutions that respect the unique circumstances and needs of these patients, while also meeting stringent healthcare compliance requirements.</w:t>
      </w:r>
    </w:p>
    <w:p/>
    <w:p>
      <w:pPr>
        <w:pStyle w:val="Heading2"/>
      </w:pPr>
      <w:r>
        <w:t>Potential Risks and Compliance Concerns</w:t>
      </w:r>
    </w:p>
    <w:p/>
    <w:p>
      <w:r>
        <w:t>MediConn's platform faces a variety of potential threats, including data breaches and unauthorized access. In 2023, we handled 12 minor security incidents, none of which led to significant data losses. Our security department has implemented stringent measures that have reduced the risk of similar incidents by 30% since then.</w:t>
      </w:r>
    </w:p>
    <w:p/>
    <w:p>
      <w:pPr>
        <w:pStyle w:val="Heading2"/>
      </w:pPr>
      <w:r>
        <w:t>Proposed Compliance Controls and Implementation</w:t>
      </w:r>
    </w:p>
    <w:p/>
    <w:p>
      <w:r>
        <w:t>We are currently investigating the use of decentralized identifiers (DIDs) as a way to enhance patient privacy and data ownership. With DIDs, patients would control their personal data and decide who can access it. We expect to complete our preliminary investigation in Q4 2025.</w:t>
      </w:r>
    </w:p>
    <w:p/>
    <w:p>
      <w:pPr>
        <w:pStyle w:val="Heading2"/>
      </w:pPr>
      <w:r>
        <w:t>Current Authentication Mechanisms in Low-connectivity Areas</w:t>
      </w:r>
    </w:p>
    <w:p/>
    <w:p>
      <w:r>
        <w:t>As we strive to better serve Indigenous populations in areas with limited connectivity, MediConn has established the Indigenous Reporting Readiness Index (IRRI) as a key internal compliance metric. This index is aimed at ensuring 85% framework compliance by the end of 2026, reflecting our commitment to establishing secure authentication and patient verification systems. Simultaneously, we are working on 100% completion of staff retraining to ensure cultural competence in engaging with Indigenous patients. This comprehensive approach allows us to measure our progress in a meaningful way and stay on track for our Q4 2026 goals.</w:t>
      </w:r>
    </w:p>
    <w:p/>
    <w:p>
      <w:pPr>
        <w:pStyle w:val="Heading2"/>
      </w:pPr>
      <w:r>
        <w:t>Conclusion</w:t>
      </w:r>
    </w:p>
    <w:p/>
    <w:p>
      <w:r>
        <w:t>By deploying robust and secure authentication methods, MediConn can provide seamless healthcare services to Indigenous patients in remote areas, while also meeting compliance standards. The proposed controls outlined in this document offer a roadmap towards achieving this goal. It is important for all stakeholders to understand these measures and contribute to their successful implementation. Our commitment to providing secure and accessible healthcare remains our top priority.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