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Video-Consultation Infrastructure Upgrade Report</w:t>
      </w:r>
    </w:p>
    <w:p/>
    <w:p>
      <w:pPr>
        <w:pStyle w:val="Heading2"/>
      </w:pPr>
      <w:r>
        <w:t>Introduction</w:t>
      </w:r>
    </w:p>
    <w:p/>
    <w:p>
      <w:r>
        <w:t>This report provides an in-depth analysis of the recent upgrade on our video conferencing infrastructure during Q1 2025. The primary focus is on the increased capacity to support concurrent consultations and the overall impact on our service delivery. The information contained herein is vital for understanding our operational efficiency and planning future upgrades.</w:t>
      </w:r>
    </w:p>
    <w:p/>
    <w:p>
      <w:pPr>
        <w:pStyle w:val="Heading2"/>
      </w:pPr>
      <w:r>
        <w:t>Assessment of Pre-Upgrade Infrastructure Performance</w:t>
      </w:r>
    </w:p>
    <w:p/>
    <w:p>
      <w:r>
        <w:t>Before the upgrade in Q1 2025, MediConn's infrastructure was handling an average of 6,000 consultations daily. It was noted that our system experienced a significant slowdown during peak hours, causing delays in service delivery. Furthermore, the IT department reported several instances of system overloads, leading to unplanned service interruptions.</w:t>
      </w:r>
    </w:p>
    <w:p/>
    <w:p>
      <w:pPr>
        <w:pStyle w:val="Heading2"/>
      </w:pPr>
      <w:r>
        <w:t>Post-Upgrade System Capabilities and Concurrent Calls Support</w:t>
      </w:r>
    </w:p>
    <w:p/>
    <w:p>
      <w:r>
        <w:t>Following the system enhancement in Q1 2025, MediConn's new infrastructure has proved to be reliable and robust. It is now equipped to handle a larger volume of data and can support more complex operations. The upgrade has also improved our system's resilience to potential cyber threats, enhancing our overall security posture.</w:t>
      </w:r>
    </w:p>
    <w:p/>
    <w:p>
      <w:pPr>
        <w:pStyle w:val="Heading2"/>
      </w:pPr>
      <w:r>
        <w:t>Impact on Service Delivery and Customer Satisfaction</w:t>
      </w:r>
    </w:p>
    <w:p/>
    <w:p>
      <w:r>
        <w:t>After the upgrade, there was an appreciable improvement in our service delivery. Our response times improved by 30%, leading to an increased customer satisfaction rate of 20%. The upgrade has indeed allowed us to provide a more seamless and efficient service to our customers.</w:t>
      </w:r>
    </w:p>
    <w:p/>
    <w:p>
      <w:pPr>
        <w:pStyle w:val="Heading2"/>
      </w:pPr>
      <w:r>
        <w:t>Conclusion</w:t>
      </w:r>
    </w:p>
    <w:p/>
    <w:p>
      <w:r>
        <w:t>The video conferencing infrastructure upgrade in Q1 2025 has significantly enhanced our ability to handle concurrent consultations, which has subsequently improved service delivery and customer satisfaction. Moving forward, we should consider regular system upgrades and capacity enhancements to maintain a high level of service. This report should serve as a benchmark for future infrastructure upgrade projects.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