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MediConn Provider Network Expansion</w:t>
      </w:r>
    </w:p>
    <w:p/>
    <w:p>
      <w:pPr>
        <w:pStyle w:val="Heading2"/>
      </w:pPr>
      <w:r>
        <w:t>Introduction</w:t>
      </w:r>
    </w:p>
    <w:p/>
    <w:p>
      <w:r>
        <w:t>This document provides a comprehensive analysis of the expansion of our provider network in 2024. It contains insights about the new healthcare providers that have joined MediConn, along with the geographical expansion and strategic impacts. This information serves as a key tool in understanding our growth trajectory and improving our strategic planning.</w:t>
      </w:r>
    </w:p>
    <w:p/>
    <w:p>
      <w:pPr>
        <w:pStyle w:val="Heading2"/>
      </w:pPr>
      <w:r>
        <w:t>Geographical Distribution of New Providers</w:t>
      </w:r>
    </w:p>
    <w:p/>
    <w:p>
      <w:r>
        <w:t>In 2024, the newly added providers were spread across various geographical locations, with a significant presence in the western provinces of Canada. A notable percentage of them were from British Columbia, followed by Alberta and Saskatchewan. The inclusion of providers from these regions has expanded our reach and has allowed us to cater to a broader patient base.</w:t>
      </w:r>
    </w:p>
    <w:p/>
    <w:p>
      <w:pPr>
        <w:pStyle w:val="Heading2"/>
      </w:pPr>
      <w:r>
        <w:t>Strategic Impact of New Additions</w:t>
      </w:r>
    </w:p>
    <w:p/>
    <w:p>
      <w:r>
        <w:t>The new additions to our network in 2024 have significantly enhanced our ability to provide comprehensive healthcare services. The diverse expertise of these providers has allowed us to address a wider array of health concerns, thus strengthening our position as a leading virtual healthcare provider. This strategic expansion has proven beneficial in meeting the growing demand for remote healthcare services.</w:t>
      </w:r>
    </w:p>
    <w:p/>
    <w:p>
      <w:pPr>
        <w:pStyle w:val="Heading2"/>
      </w:pPr>
      <w:r>
        <w:t>Analysis of Provider Network Growth in 2024</w:t>
      </w:r>
    </w:p>
    <w:p/>
    <w:p>
      <w:r>
        <w:t>The growth of our provider network in 2024 was reflective of our strategic vision to expand and diversify our healthcare offerings. We saw a 15% increase in the number of specialists in our network, particularly in the areas of mental health and geriatric care. This upward trend indicates our commitment to providing comprehensive healthcare solutions.</w:t>
      </w:r>
    </w:p>
    <w:p/>
    <w:p>
      <w:pPr>
        <w:pStyle w:val="Heading2"/>
      </w:pPr>
      <w:r>
        <w:t>Conclusion</w:t>
      </w:r>
    </w:p>
    <w:p/>
    <w:p>
      <w:r>
        <w:t>The addition of new healthcare providers to the MediConn network in 2024 has significantly contributed to our growth and reach. It is crucial to understand the strategic implications of these additions for better planning and decision-making. We suggest more focused efforts on areas with less coverage and maintaining the momentum in areas of high growth. Continued network expansion will further solidify MediConn's position in the virtual healthcare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