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Brand Awareness Campaign: Performance Analysis</w:t>
      </w:r>
    </w:p>
    <w:p/>
    <w:p>
      <w:pPr>
        <w:pStyle w:val="Heading2"/>
      </w:pPr>
      <w:r>
        <w:t>Introduction</w:t>
      </w:r>
    </w:p>
    <w:p/>
    <w:p>
      <w:r>
        <w:t>This document aims to analyze the performance of the 2024 brand awareness campaign. Specifically, it focuses on the increase in unaided brand recalls among our target demographics. This analysis is essential for refining our marketing strategies and enhancing our brand's visibility in the virtual healthcare market.</w:t>
      </w:r>
    </w:p>
    <w:p/>
    <w:p>
      <w:pPr>
        <w:pStyle w:val="Heading2"/>
      </w:pPr>
      <w:r>
        <w:t>Evaluation of 2024 Brand Awareness Campaign</w:t>
      </w:r>
    </w:p>
    <w:p/>
    <w:p>
      <w:r>
        <w:t>The 2024 brand awareness campaign was primarily executed via telehealth platforms, interactive webinars, and digital marketing channels. It involved collaborations with various medical institutions and influencers from the healthcare sector. The marketing department reported a 20% increase in engagement on our social media pages and a 30% increase in website visits during the campaign period.</w:t>
      </w:r>
    </w:p>
    <w:p/>
    <w:p>
      <w:pPr>
        <w:pStyle w:val="Heading2"/>
      </w:pPr>
      <w:r>
        <w:t>Insights on Target Demographics' Engagement</w:t>
      </w:r>
    </w:p>
    <w:p/>
    <w:p>
      <w:r>
        <w:t>Our target demographics, majorly constituted by individuals aged 30-50, displayed an increased interest in our telehealth services in 2024, with a 15% rise in subscription rates. The most popular service among this demographic was the 24/7 virtual doctor consultation. The customer service department reported a significant reduction in wait times and a 25% increase in customer satisfaction scores.</w:t>
      </w:r>
    </w:p>
    <w:p/>
    <w:p>
      <w:pPr>
        <w:pStyle w:val="Heading2"/>
      </w:pPr>
      <w:r>
        <w:t>Impact on Unaided Brand Recalls</w:t>
      </w:r>
    </w:p>
    <w:p/>
    <w:p>
      <w:r>
        <w:t>Our unaided brand recall witnessed a significant rise in the first quarter of 2024, due to the launch of our proprietary telehealth application. The user-friendly interface and unique features of the app contributed to its popularity, resulting in a surge of downloads within the first month of launch. Our customer retention rate improved by 15% in this period.</w:t>
      </w:r>
    </w:p>
    <w:p/>
    <w:p>
      <w:pPr>
        <w:pStyle w:val="Heading2"/>
      </w:pPr>
      <w:r>
        <w:t>Conclusion</w:t>
      </w:r>
    </w:p>
    <w:p/>
    <w:p>
      <w:r>
        <w:t>In conclusion, the 2024 brand awareness campaign has shown a significant increase in unaided brand recalls among our target demographics. These findings will guide us in improving future marketing strategies and campaigns. We recommend investing in similar campaigns to promote brand recall and enhance MediConn's market presence. Let's continue to analyze and learn from these results to further our growth in the virtual healthcare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