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Media Influence Analysis 2024</w:t>
      </w:r>
    </w:p>
    <w:p/>
    <w:p>
      <w:pPr>
        <w:pStyle w:val="Heading2"/>
      </w:pPr>
      <w:r>
        <w:t>Introduction</w:t>
      </w:r>
    </w:p>
    <w:p/>
    <w:p>
      <w:r>
        <w:t>This report provides an in-depth analysis of the media coverage MediConn Solutions secured in 2024, particularly its impact and impressions. We will examine our media presence, the nature of the coverage, and its repercussions. This report aims to provide valuable insights for shaping future media and communication strategies for the company.</w:t>
      </w:r>
    </w:p>
    <w:p/>
    <w:p>
      <w:pPr>
        <w:pStyle w:val="Heading2"/>
      </w:pPr>
      <w:r>
        <w:t>Detailed Analysis of Media Placements</w:t>
      </w:r>
    </w:p>
    <w:p/>
    <w:p>
      <w:r>
        <w:t>In 2024, MediConn Solutions engaged in a widespread media campaign incorporating various platforms such as digital, print and broadcast media. The campaign was executed between January and December, spanning the entire year. The company spent approximately 15% of its marketing budget on securing these media placements.</w:t>
      </w:r>
    </w:p>
    <w:p/>
    <w:p>
      <w:pPr>
        <w:pStyle w:val="Heading2"/>
      </w:pPr>
      <w:r>
        <w:t>Impact on Brand Perception and Credibility</w:t>
      </w:r>
    </w:p>
    <w:p/>
    <w:p>
      <w:r>
        <w:t>Over the past few years, MediConn Solutions has invested heavily in improving its brand perception. This includes revamping the company logo, website, and other brand elements in 2023. The company also implemented a new customer feedback system to understand and address its customers' concerns better.</w:t>
      </w:r>
    </w:p>
    <w:p/>
    <w:p>
      <w:pPr>
        <w:pStyle w:val="Heading2"/>
      </w:pPr>
      <w:r>
        <w:t>Implications for Future Media Strategy</w:t>
      </w:r>
    </w:p>
    <w:p/>
    <w:p>
      <w:r>
        <w:t>MediConn Solutions plans to further diversify its media strategy in 2025. The company is considering investing in influencer marketing, podcasting, and virtual conferences. It aims to reach a broader audience and cater to the evolving digital consumption patterns of its customers.</w:t>
      </w:r>
    </w:p>
    <w:p/>
    <w:p>
      <w:pPr>
        <w:pStyle w:val="Heading2"/>
      </w:pPr>
      <w:r>
        <w:t>Conclusion</w:t>
      </w:r>
    </w:p>
    <w:p/>
    <w:p>
      <w:r>
        <w:t>The media placements in 2024 have significantly enhanced MediConn's brand perception and credibility. They have also provided us with valuable insights for improving our media strategies. As we move forward, we need to leverage these insights to maximize our media presence and impact, thereby driving growth and reinforcing our leadership in the virtual healthcare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