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MediConn 2024 Patient Satisfaction Report</w:t>
      </w:r>
    </w:p>
    <w:p/>
    <w:p>
      <w:pPr>
        <w:pStyle w:val="Heading2"/>
      </w:pPr>
      <w:r>
        <w:t>Introduction</w:t>
      </w:r>
    </w:p>
    <w:p/>
    <w:p>
      <w:r>
        <w:t>As part of our ongoing commitment to patient-centered care, this report explores the patient satisfaction rates for MediConn Solutions in the year 2024. We believe that understanding our patients' experiences is critical to our continued growth and success. This analysis provides key insights into the quality of our virtual care services from the most important perspective - our patients.</w:t>
      </w:r>
    </w:p>
    <w:p/>
    <w:p>
      <w:pPr>
        <w:pStyle w:val="Heading2"/>
      </w:pPr>
      <w:r>
        <w:t>Overview of Patient Feedback Channels</w:t>
      </w:r>
    </w:p>
    <w:p/>
    <w:p>
      <w:r>
        <w:t>MediConn Solutions utilizes multiple channels to gather patient feedback. These include online surveys and dedicated feedback forms on our proprietary mobile app, along with periodic telephone interviews. Our customer service department also plays a pivotal role in collecting feedback during regular patient interactions.</w:t>
      </w:r>
    </w:p>
    <w:p/>
    <w:p>
      <w:pPr>
        <w:pStyle w:val="Heading2"/>
      </w:pPr>
      <w:r>
        <w:t>Analysis of 2024 Patient Satisfaction Metrics</w:t>
      </w:r>
    </w:p>
    <w:p/>
    <w:p>
      <w:r>
        <w:t>In 2024, we observed a significant increase in the use of our feedback channels, with a 30% rise in completed satisfaction surveys. Our mobile app, in particular, saw an impressive 40% increase in feedback form submissions. Additionally, we noted a 20% increase in the frequency of feedback provided during customer service interactions.</w:t>
      </w:r>
    </w:p>
    <w:p/>
    <w:p>
      <w:pPr>
        <w:pStyle w:val="Heading2"/>
      </w:pPr>
      <w:r>
        <w:t>Comparison with Previous Years' Satisfaction Rates</w:t>
      </w:r>
    </w:p>
    <w:p/>
    <w:p>
      <w:r>
        <w:t>A multi-year perspective reveals that MediConn Solutions has consistently prioritized patient satisfaction. In 2022, we implemented a comprehensive patient satisfaction improvement strategy that led to a 15% increase in positive feedback. In 2023, despite the challenges presented by the global health crisis, we maintained a stable patient satisfaction rate.</w:t>
      </w:r>
    </w:p>
    <w:p/>
    <w:p>
      <w:pPr>
        <w:pStyle w:val="Heading2"/>
      </w:pPr>
      <w:r>
        <w:t>Conclusion</w:t>
      </w:r>
    </w:p>
    <w:p/>
    <w:p>
      <w:r>
        <w:t>Overall, MediConn's patient satisfaction rate for 2024 exhibits our commitment to providing high-quality virtual healthcare. However, there are areas for improvement which we should address promptly. Moving forward, let's focus on enhancing our patient feedback channels and address the areas highlighted for improvement. Together, we can continue to raise the bar for patient satisfaction in virtual healthcare.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