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Employee Engagement Survey Analysis</w:t>
      </w:r>
    </w:p>
    <w:p/>
    <w:p>
      <w:pPr>
        <w:pStyle w:val="Heading2"/>
      </w:pPr>
      <w:r>
        <w:t>Introduction</w:t>
      </w:r>
    </w:p>
    <w:p/>
    <w:p>
      <w:r>
        <w:t>The following document presents an in-depth analysis of the 2025 Employee Engagement Survey conducted within MediConn Solutions. It aims to provide insights into employee satisfaction, engagement levels, and areas for improvement. This information will be critical in guiding future employee wellness initiatives and fostering a productive work environment.</w:t>
      </w:r>
    </w:p>
    <w:p/>
    <w:p>
      <w:pPr>
        <w:pStyle w:val="Heading2"/>
      </w:pPr>
      <w:r>
        <w:t>Overview of Employee Participation in Survey</w:t>
      </w:r>
    </w:p>
    <w:p/>
    <w:p>
      <w:r>
        <w:t>The 2025 engagement survey saw a remarkable participation rate of 98%, a 4% increase from the 2024 survey. The highest response rates were from the development and customer service departments. The least engagement was observed in the administrative division.</w:t>
      </w:r>
    </w:p>
    <w:p/>
    <w:p>
      <w:pPr>
        <w:pStyle w:val="Heading2"/>
      </w:pPr>
      <w:r>
        <w:t>Analysis of Employee Satisfaction Metrics</w:t>
      </w:r>
    </w:p>
    <w:p/>
    <w:p>
      <w:r>
        <w:t>Our satisfaction metrics are derived from multiple factors including communication, leadership, work environment and job role satisfaction. In 2025, we introduced new metrics to assess work-from-home satisfaction and digital tool effectiveness. The metrics are weighted and combined to generate the overall satisfaction score.</w:t>
      </w:r>
    </w:p>
    <w:p/>
    <w:p>
      <w:pPr>
        <w:pStyle w:val="Heading2"/>
      </w:pPr>
      <w:r>
        <w:t>Recommendations for Enhancing Employee Engagement</w:t>
      </w:r>
    </w:p>
    <w:p/>
    <w:p>
      <w:r>
        <w:t>Improvements in inter-departmental communication and investment in digital tool training are recommended to increase employee engagement. Additionally, regular virtual team-building activities could also be beneficial. These recommendations are based on the feedback received during the 2025 survey.</w:t>
      </w:r>
    </w:p>
    <w:p/>
    <w:p>
      <w:pPr>
        <w:pStyle w:val="Heading2"/>
      </w:pPr>
      <w:r>
        <w:t>Conclusion</w:t>
      </w:r>
    </w:p>
    <w:p/>
    <w:p>
      <w:r>
        <w:t>The 2025 Employee Engagement Survey has provided valuable insights into employee satisfaction and areas for improvement. Through targeted initiatives, we can foster an even more engaging and satisfying work environment. These improvements will not only enhance employee satisfaction but also contribute to the overall success of MediConn Solutions. Let's march forward with these insights and recommendations in mind.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