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Consultations Performance FY2025</w:t>
      </w:r>
    </w:p>
    <w:p/>
    <w:p>
      <w:pPr>
        <w:pStyle w:val="Heading2"/>
      </w:pPr>
      <w:r>
        <w:t>Introduction</w:t>
      </w:r>
    </w:p>
    <w:p/>
    <w:p>
      <w:r>
        <w:t>This report provides an in-depth analysis of the virtual consultations conducted by MediConn Solutions during the fiscal year 2025. It aims to give insights into our performance in the virtual healthcare space, aligning with our commitment to providing quality remote healthcare solutions. The report encompasses various elements such as the volume of consultations, patient feedback, and operational efficiency.</w:t>
      </w:r>
    </w:p>
    <w:p/>
    <w:p>
      <w:pPr>
        <w:pStyle w:val="Heading2"/>
      </w:pPr>
      <w:r>
        <w:t>Analysis of Consultation Volume Trends</w:t>
      </w:r>
    </w:p>
    <w:p/>
    <w:p>
      <w:r>
        <w:t>Over the past five years, we have noticed a significant increase in the demand for our virtual healthcare services. In fact, between 2020 and 2024, the annual growth rate of consultation volumes was approximately 20%. This upward trend aligns with broader industry growth patterns and reflects the increasing adoption of remote healthcare solutions by patients globally.</w:t>
      </w:r>
    </w:p>
    <w:p/>
    <w:p>
      <w:pPr>
        <w:pStyle w:val="Heading2"/>
      </w:pPr>
      <w:r>
        <w:t>Patient Feedback and Satisfaction Metrics</w:t>
      </w:r>
    </w:p>
    <w:p/>
    <w:p>
      <w:r>
        <w:t>According to our annual patient satisfaction survey, 85% of our patients rated their overall experience as 'excellent' or 'very good' in 2024. Our Net Promoter Score (NPS) was 70, significantly higher than the industry average. The positive feedback points towards our commitment to delivering high-quality virtual healthcare services.</w:t>
      </w:r>
    </w:p>
    <w:p/>
    <w:p>
      <w:pPr>
        <w:pStyle w:val="Heading2"/>
      </w:pPr>
      <w:r>
        <w:t>Operational Efficiency and Resource Utilization</w:t>
      </w:r>
    </w:p>
    <w:p/>
    <w:p>
      <w:r>
        <w:t>In 2024, our operational efficiency improved by 15%, thanks to the implementation of new software tools and refined processes. We also saw a 10% reduction in resource utilization, which allowed us to allocate more time and resources towards enhancing our service offerings and patient experience.</w:t>
      </w:r>
    </w:p>
    <w:p/>
    <w:p>
      <w:pPr>
        <w:pStyle w:val="Heading2"/>
      </w:pPr>
      <w:r>
        <w:t>Conclusion</w:t>
      </w:r>
    </w:p>
    <w:p/>
    <w:p>
      <w:r>
        <w:t>Understanding the number of virtual consultations completed in FY2025 provides valuable insight into the company's performance and growth. It informs our future strategies, particularly in areas of operational efficiency and resource allocation. Based on the findings, the next steps will include improving patient satisfaction and optimizing our resources. Furthermore, we will continue monitoring these metrics closely to ensure our offerings align with market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