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Cybersecurity Optimization Plan for FY2026</w:t>
      </w:r>
    </w:p>
    <w:p/>
    <w:p>
      <w:pPr>
        <w:pStyle w:val="Heading2"/>
      </w:pPr>
      <w:r>
        <w:t>Introduction</w:t>
      </w:r>
    </w:p>
    <w:p/>
    <w:p>
      <w:r>
        <w:t>As MediConn Solutions continues to spearhead advancements in virtual healthcare, our cybersecurity protocols must evolve accordingly. This document outlines three key focus areas for enhancing data protection and cybersecurity in FY2026. The aim is to stay ahead of potential threats as we enhance our digital engagement and operational efficiency.</w:t>
      </w:r>
    </w:p>
    <w:p/>
    <w:p>
      <w:pPr>
        <w:pStyle w:val="Heading2"/>
      </w:pPr>
      <w:r>
        <w:t>Improving Data Protection in Digital Engagement</w:t>
      </w:r>
    </w:p>
    <w:p/>
    <w:p>
      <w:r>
        <w:t>In Q3 of 2021, we launched a patient portal which has seen a continuous increase in active users. This portal is equipped with standard security protocols to ensure the safety of patient data. As of Q4 2025, there have been no major security breaches reported on the portal.</w:t>
      </w:r>
    </w:p>
    <w:p/>
    <w:p>
      <w:pPr>
        <w:pStyle w:val="Heading2"/>
      </w:pPr>
      <w:r>
        <w:t>Cybersecurity Considerations for Operational Efficiency</w:t>
      </w:r>
    </w:p>
    <w:p/>
    <w:p>
      <w:r>
        <w:t>In 2020, we introduced an employee training program focusing on cybersecurity best practices. The program covers aspects like phishing emails and secure browsing. As of 2025, 95% of our employees have successfully completed this training.</w:t>
      </w:r>
    </w:p>
    <w:p/>
    <w:p>
      <w:pPr>
        <w:pStyle w:val="Heading2"/>
      </w:pPr>
      <w:r>
        <w:t>Assessment of Current Cybersecurity Infrastructure</w:t>
      </w:r>
    </w:p>
    <w:p/>
    <w:p>
      <w:r>
        <w:t>In our pursuit of optimal cybersecurity, it is essential to examine our current data protection measures. By the close of Q4 2025, our infrastructure was capable of providing end-to-end encryption for approximately 94% of stored patient data. However, this implies that there remains a compliance gap concerning 6% of our patient data, which currently lacks the same level of encryption. As we look towards FY2026, it becomes evident that the focus should be on standardizing encryption across all stored data to address this gap and ensure comprehensive data protection.</w:t>
      </w:r>
    </w:p>
    <w:p/>
    <w:p>
      <w:pPr>
        <w:pStyle w:val="Heading2"/>
      </w:pPr>
      <w:r>
        <w:t>Conclusion</w:t>
      </w:r>
    </w:p>
    <w:p/>
    <w:p>
      <w:r>
        <w:t>By focusing on these areas, MediConn Solutions can bolster its cybersecurity and data protection, while also supporting the healthcare industry's digital engagement and operational efficiency. The steps outlined in this document not only cater to our immediate needs but also set the stage for long-term security advancement. It's recommended that the outlined steps be implemented and regularly reviewed for optimal results.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