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2025 Shipment Packaging Cost Analysis</w:t>
      </w:r>
    </w:p>
    <w:p/>
    <w:p>
      <w:pPr>
        <w:pStyle w:val="Heading2"/>
      </w:pPr>
      <w:r>
        <w:t>Introduction</w:t>
      </w:r>
    </w:p>
    <w:p/>
    <w:p>
      <w:r>
        <w:t>This document presents a detailed analysis of our packaging material costs per shipment for the year 2025. The aim is to understand our expenditure trends and identify potential areas for cost optimization. As Lee's Market continues to grow, it's critical to evaluate these costs to ensure we maintain a competitive edge in the retail industry.</w:t>
      </w:r>
    </w:p>
    <w:p/>
    <w:p>
      <w:pPr>
        <w:pStyle w:val="Heading2"/>
      </w:pPr>
      <w:r>
        <w:t>Overview of 2025 Shipment Volume</w:t>
      </w:r>
    </w:p>
    <w:p/>
    <w:p>
      <w:r>
        <w:t>In 2025, Lee's Market experienced a 15% increase in total shipment volume compared to the previous year. This was largely due to the introduction of new product lines and an expansion of online sales channels. The shift towards e-commerce necessitated more frequent shipments to fulfil the increasing customer demand.</w:t>
      </w:r>
    </w:p>
    <w:p/>
    <w:p>
      <w:pPr>
        <w:pStyle w:val="Heading2"/>
      </w:pPr>
      <w:r>
        <w:t>Analysis of Packaging Material Suppliers</w:t>
      </w:r>
    </w:p>
    <w:p/>
    <w:p>
      <w:r>
        <w:t>Throughout 2025, Lee's Market worked with three main packaging suppliers, all of which are ISO certified and adhere to stringent environmental policies. The suppliers' delivery punctuality and product quality remained consistent, contributing to the overall efficiency of Lee's Market's shipping operations.</w:t>
      </w:r>
    </w:p>
    <w:p/>
    <w:p>
      <w:pPr>
        <w:pStyle w:val="Heading2"/>
      </w:pPr>
      <w:r>
        <w:t>Cost Breakdown of Packaging Materials</w:t>
      </w:r>
    </w:p>
    <w:p/>
    <w:p>
      <w:r>
        <w:t>In 2025, the majority of our packaging material costs were allocated towards protective materials such as bubble wrap and foam inserts. However, we also invested in environmentally friendly alternatives such as biodegradable peanuts and recycled plastic wraps. The cost allocation between these materials fluctuated slightly throughout the year.</w:t>
      </w:r>
    </w:p>
    <w:p/>
    <w:p>
      <w:pPr>
        <w:pStyle w:val="Heading2"/>
      </w:pPr>
      <w:r>
        <w:t>Conclusion</w:t>
      </w:r>
    </w:p>
    <w:p/>
    <w:p>
      <w:r>
        <w:t>In summary, our packaging material costs for 2025 have shown a significant impact on our overall shipment expenses. A closer look at our suppliers and the cost breakdown can guide us in making strategic cost-saving decisions. It's recommended to continue monitoring these costs and engage with suppliers for potential discounts or alternative solutions. Let's use these insights to drive our cost efficiency in the upcoming years.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