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Refrigeration Unit Overhaul Analysis</w:t>
      </w:r>
    </w:p>
    <w:p/>
    <w:p>
      <w:pPr>
        <w:pStyle w:val="Heading2"/>
      </w:pPr>
      <w:r>
        <w:t>Introduction</w:t>
      </w:r>
    </w:p>
    <w:p/>
    <w:p>
      <w:r>
        <w:t>This report provides an in-depth analysis of our refrigeration unit replacement and upgrade activities across all Lee's Market stores in 2025. It aims to provide insights into the scope of the project, the impacts on operational efficiency, and potential areas for future enhancements. As a key infrastructure component of our retail operations, understanding these changes is essential for strategic planning and forecasting.</w:t>
      </w:r>
    </w:p>
    <w:p/>
    <w:p>
      <w:pPr>
        <w:pStyle w:val="Heading2"/>
      </w:pPr>
      <w:r>
        <w:t>Overview of Refrigeration Infrastructure Investments</w:t>
      </w:r>
    </w:p>
    <w:p/>
    <w:p>
      <w:r>
        <w:t>Over the past decade, Lee's Market has made significant infrastructure investments. In 2020, we allocated 15% of our capital expenditure budget towards the acquisition of advanced energy-efficient refrigeration units. This investment was in line with our commitment to reduce our carbon footprint and improve operational efficiency.</w:t>
      </w:r>
    </w:p>
    <w:p/>
    <w:p>
      <w:pPr>
        <w:pStyle w:val="Heading2"/>
      </w:pPr>
      <w:r>
        <w:t>Impact of Refrigeration Upgrades on Operational Efficiency</w:t>
      </w:r>
    </w:p>
    <w:p/>
    <w:p>
      <w:r>
        <w:t>The new refrigeration units have positively impacted our operational efficiency. We've seen a 20% reduction in energy consumption in stores with upgraded units. Moreover, product spoilage rates have decreased by 5% due to improved temperature control.</w:t>
      </w:r>
    </w:p>
    <w:p/>
    <w:p>
      <w:pPr>
        <w:pStyle w:val="Heading2"/>
      </w:pPr>
      <w:r>
        <w:t>Future Recommendations for Refrigeration Unit Management</w:t>
      </w:r>
    </w:p>
    <w:p/>
    <w:p>
      <w:r>
        <w:t>For future refrigeration unit management, we recommend a systematic approach. Regular maintenance checks every six months will help ensure the longevity of the units. Additionally, we should plan for a gradual upgrade process every five years to maintain energy efficiency.</w:t>
      </w:r>
    </w:p>
    <w:p/>
    <w:p>
      <w:pPr>
        <w:pStyle w:val="Heading2"/>
      </w:pPr>
      <w:r>
        <w:t>Conclusion</w:t>
      </w:r>
    </w:p>
    <w:p/>
    <w:p>
      <w:r>
        <w:t>Our 2025 refrigeration unit replacement and upgrade project was a significant endeavor with substantial impacts on our operational efficiency. It is crucial to continue monitoring the performance of our refrigeration units and plan for future investments. The insights garnered from this analysis should guide our strategic planning in the coming years. We must ensure we prioritize projects that yield the highest return on investment and align with our sustainability objectives.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