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Loyalty Program Redesign Considerations</w:t>
      </w:r>
    </w:p>
    <w:p/>
    <w:p>
      <w:pPr>
        <w:pStyle w:val="Heading2"/>
      </w:pPr>
      <w:r>
        <w:t>Introduction</w:t>
      </w:r>
    </w:p>
    <w:p/>
    <w:p>
      <w:r>
        <w:t>As Lee's Market looks to redesign its loyalty program by Q2 2026, it is crucial to consider the preferences of both our existing clientele and the upcoming generation of customers. This report aims to explore the key considerations and potential strategies that encompass the digital preferences of Gen Z/Millennials while catering to the traditional service expectations of Gen X/Boomers. The insights will guide our approach to creating a balanced and effective loyalty program that caters to all customers.</w:t>
      </w:r>
    </w:p>
    <w:p/>
    <w:p>
      <w:pPr>
        <w:pStyle w:val="Heading2"/>
      </w:pPr>
      <w:r>
        <w:t>Digital Innovations in Retail Loyalty Programs</w:t>
      </w:r>
    </w:p>
    <w:p/>
    <w:p>
      <w:r>
        <w:t>Our IT department has been exploring the use of blockchain technology to create secure digital loyalty points. This innovative approach is expected to reduce fraudulent redemptions by 30%. The implementation is scheduled for the second half of 2023.</w:t>
      </w:r>
    </w:p>
    <w:p/>
    <w:p>
      <w:pPr>
        <w:pStyle w:val="Heading2"/>
      </w:pPr>
      <w:r>
        <w:t>Maintaining Traditional Service Standards</w:t>
      </w:r>
    </w:p>
    <w:p/>
    <w:p>
      <w:r>
        <w:t>Our in-store customer service team has been recognized for maintaining a high standard of service, with an average customer satisfaction rating of 4.7 out of 5 in 2021. The team continues to receive regular training to ensure they uphold these standards while adapting to evolving retail trends.</w:t>
      </w:r>
    </w:p>
    <w:p/>
    <w:p>
      <w:pPr>
        <w:pStyle w:val="Heading2"/>
      </w:pPr>
      <w:r>
        <w:t>Understanding Diverse Customer Preferences</w:t>
      </w:r>
    </w:p>
    <w:p/>
    <w:p>
      <w:r>
        <w:t>As we look into the spending patterns of our loyalty members during 2025, we can see a clear divergence between Gen Z/Millennials and Gen X/Boomers. On average, our younger customer base tends to spend approximately $250 per quarter in online transactions, while their in-store spending is slightly higher at around $380. Conversely, the Gen X/Boomer group is more inclined towards in-store purchases, spending an average of $480 per quarter, while their online expenditure stands at roughly $160. These findings emphasize the need for a balanced loyalty program that caters to both online and in-store preferences, thereby ensuring a seamless customer experience for all our patrons.</w:t>
      </w:r>
    </w:p>
    <w:p/>
    <w:p>
      <w:pPr>
        <w:pStyle w:val="Heading2"/>
      </w:pPr>
      <w:r>
        <w:t>Conclusion</w:t>
      </w:r>
    </w:p>
    <w:p/>
    <w:p>
      <w:r>
        <w:t>As we plan for the redesign of our loyalty program, it is vital to strike a balance between embracing digital trends and preserving traditional service standards. The insights provided in this report serve as a roadmap to navigate this complex task. Moving forward, it is recommended that we engage in customer surveys and conduct pilot tests to gain further insights and refine our approach. Our ultimate goal is to create a loyalty program that meets the needs and preferences of all our valuable customers.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