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Lee's Market Shipping Analysis</w:t>
      </w:r>
    </w:p>
    <w:p/>
    <w:p>
      <w:pPr>
        <w:pStyle w:val="Heading2"/>
      </w:pPr>
      <w:r>
        <w:t>Introduction</w:t>
      </w:r>
    </w:p>
    <w:p/>
    <w:p>
      <w:r>
        <w:t>As part of our ongoing effort to optimize our operations, we have conducted an in-depth analysis of our shipping costs for Q1 2025. This report provides an overview of the distribution costs, specifically focusing on our operations in the U.S. The document encompasses the review of our shipping partners, the cost-effectiveness of our shipping operations, and the impact on our financial performance.</w:t>
      </w:r>
    </w:p>
    <w:p/>
    <w:p>
      <w:pPr>
        <w:pStyle w:val="Heading2"/>
      </w:pPr>
      <w:r>
        <w:t>Review of Shipping Partners and Agreements</w:t>
      </w:r>
    </w:p>
    <w:p/>
    <w:p>
      <w:r>
        <w:t>As of Q2 2024, Lee's Market works with three major shipping partners: TransCo, FreightLink, and ShipFast. The contracts with these partners were renewed in January 2025, adding a few modifications to improve the delivery process. As a part of these modifications, the real-time tracking feature was implemented, which has significantly improved customer satisfaction.</w:t>
      </w:r>
    </w:p>
    <w:p/>
    <w:p>
      <w:pPr>
        <w:pStyle w:val="Heading2"/>
      </w:pPr>
      <w:r>
        <w:t>Cost-Efficiency Analysis of Shipping Operations</w:t>
      </w:r>
    </w:p>
    <w:p/>
    <w:p>
      <w:r>
        <w:t>Our operational review in December 2024 highlighted a 15% increase in overall shipping efficiency compared to the previous year. This was primarily due to the introduction of automated sorting systems in our warehouses. Despite the initial investment, the automation led to a significant drop in the number of misplaced orders.</w:t>
      </w:r>
    </w:p>
    <w:p/>
    <w:p>
      <w:pPr>
        <w:pStyle w:val="Heading2"/>
      </w:pPr>
      <w:r>
        <w:t>Impact of Shipping Costs on Financial Performance</w:t>
      </w:r>
    </w:p>
    <w:p/>
    <w:p>
      <w:r>
        <w:t>In 2024, we noted a correlation between reduced shipping costs and improved quarterly profit margins. Our strategic investment in regional distribution centers helped us lower our dependency on external carriers, leading to a reduction in shipping costs. This had a positive impact on our bottom line and overall financial performance.</w:t>
      </w:r>
    </w:p>
    <w:p/>
    <w:p>
      <w:pPr>
        <w:pStyle w:val="Heading2"/>
      </w:pPr>
      <w:r>
        <w:t>Conclusion</w:t>
      </w:r>
    </w:p>
    <w:p/>
    <w:p>
      <w:r>
        <w:t>Our analysis has identified potential areas for cost reduction and operational improvements in our U.S. shipping operations. It is recommended that we reevaluate our shipping agreements and consider negotiating better terms with our partners. Furthermore, investing in cost-efficiency measures could yield significant savings. Continued monitoring and analysis of our shipping operations will be vital for our overall financial performance.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