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2024 Operational Expenses Analysis</w:t>
      </w:r>
    </w:p>
    <w:p/>
    <w:p>
      <w:pPr>
        <w:pStyle w:val="Heading2"/>
      </w:pPr>
      <w:r>
        <w:t>Introduction</w:t>
      </w:r>
    </w:p>
    <w:p/>
    <w:p>
      <w:r>
        <w:t>This document provides an overview of the operational expenses incurred by Lee's Market in Q4 2024. We have particularly focused on office supplies and its associated costs, which is an essential part of our operational expenditure. This analysis will help us understand our spending patterns and identify potential areas for cost optimization.</w:t>
      </w:r>
    </w:p>
    <w:p/>
    <w:p>
      <w:pPr>
        <w:pStyle w:val="Heading2"/>
      </w:pPr>
      <w:r>
        <w:t>Overview of Q4 2024 Operational Expenses</w:t>
      </w:r>
    </w:p>
    <w:p/>
    <w:p>
      <w:r>
        <w:t>In Q4 2024, Lee's Market's operational expenses grew across various departments. The logistics department saw a 5% increase, attributed to higher fuel costs and expanded delivery routes. Meanwhile, our human resources department experienced a 3% rise in expenses due to the implementation of a new employee wellness program.</w:t>
      </w:r>
    </w:p>
    <w:p/>
    <w:p>
      <w:pPr>
        <w:pStyle w:val="Heading2"/>
      </w:pPr>
      <w:r>
        <w:t>Detailed Breakdown of Office Supplies Expenditure</w:t>
      </w:r>
    </w:p>
    <w:p/>
    <w:p>
      <w:r>
        <w:t>The majority of our office supplies are procured from two primary vendors, OfficeDepot and Staples. To ensure the best value, Lee's Market regularly reviews contracts and negotiates bulk purchase discounts. In 2024, we initiated a recycling program to manage and reduce paper waste in our offices.</w:t>
      </w:r>
    </w:p>
    <w:p/>
    <w:p>
      <w:pPr>
        <w:pStyle w:val="Heading2"/>
      </w:pPr>
      <w:r>
        <w:t>Comparison with Previous Quarters' Office Supplies Expenses</w:t>
      </w:r>
    </w:p>
    <w:p/>
    <w:p>
      <w:r>
        <w:t>In Q3 2024, we piloted a 'Paperless Office' initiative in an effort to reduce our dependence on paper products. The IT department saw a marked reduction in printer-related expenditures as a result. However, a minor increase in digital subscription costs was noted.</w:t>
      </w:r>
    </w:p>
    <w:p/>
    <w:p>
      <w:pPr>
        <w:pStyle w:val="Heading2"/>
      </w:pPr>
      <w:r>
        <w:t>Conclusion</w:t>
      </w:r>
    </w:p>
    <w:p/>
    <w:p>
      <w:r>
        <w:t>The analysis of our Q4 2024 expenses provides valuable insights into our spending habits, particularly regarding office supplies. It is clear that this area requires our attention for cost optimization efforts. Based on this report, we should consider revising our procurement strategies and explore opportunities for bulk purchasing or negotiating better terms with our suppliers.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