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 2025 MediConn Marketing Expenditure Analysis</w:t>
      </w:r>
    </w:p>
    <w:p/>
    <w:p>
      <w:pPr>
        <w:pStyle w:val="Heading2"/>
      </w:pPr>
      <w:r>
        <w:t>Introduction</w:t>
      </w:r>
    </w:p>
    <w:p/>
    <w:p>
      <w:r>
        <w:t>This document provides an overview of MediConn Solution's marketing expenditures for the 2025 fiscal year, with a specific focus on corporate wellness programs. As a medium-sized entity in the Virtual/Remote Healthcare industry, understanding the allocation of marketing resources is crucial for determining the efficacy of our strategies and guiding future decision-making. This analysis should assist in identifying areas for potential improvement and enable more efficient resource allocation.</w:t>
      </w:r>
    </w:p>
    <w:p/>
    <w:p>
      <w:pPr>
        <w:pStyle w:val="Heading2"/>
      </w:pPr>
      <w:r>
        <w:t>Analysis of Overall Marketing Budget Allocation</w:t>
      </w:r>
    </w:p>
    <w:p/>
    <w:p>
      <w:r>
        <w:t>In fiscal year 2025, MediConn Solutions allocated a significant portion of its budget towards marketing activities. This included a 20% increase in funds dedicated to digital advertising to enhance our online presence. Additionally, we saw a 10% rise in funds allocated to public relations and content creation, aimed at improving our brand image and customer engagement.</w:t>
      </w:r>
    </w:p>
    <w:p/>
    <w:p>
      <w:pPr>
        <w:pStyle w:val="Heading2"/>
      </w:pPr>
      <w:r>
        <w:t>Expenditure Evaluation: Corporate Wellness Programs</w:t>
      </w:r>
    </w:p>
    <w:p/>
    <w:p>
      <w:r>
        <w:t>Our corporate wellness programs have shown significant growth in fiscal year 2025, with a 30% increase in participation from our employees. This increased engagement has led to a decrease in employee sick days by 15%, resulting in higher productivity. However, the evaluation of expenditure on these programs is still under review by our finance department.</w:t>
      </w:r>
    </w:p>
    <w:p/>
    <w:p>
      <w:pPr>
        <w:pStyle w:val="Heading2"/>
      </w:pPr>
      <w:r>
        <w:t>Comparison of Marketing Costs with Industry Standards</w:t>
      </w:r>
    </w:p>
    <w:p/>
    <w:p>
      <w:r>
        <w:t>In comparing our marketing expenditures with industry standards, MediConn Solutions remains competitive. In 2025, we invested heavily in market research and customer segmentation strategies, aligning with industry benchmarks. Our marketing cost per acquisition (CPA) also reduced by 5%, indicating a more effective marketing strategy.</w:t>
      </w:r>
    </w:p>
    <w:p/>
    <w:p>
      <w:pPr>
        <w:pStyle w:val="Heading2"/>
      </w:pPr>
      <w:r>
        <w:t>Conclusion</w:t>
      </w:r>
    </w:p>
    <w:p/>
    <w:p>
      <w:r>
        <w:t>In conclusion, the analysis of MediConn's marketing expenditures for FY 2025 reveals key insights into our financial allocation towards corporate wellness programs. We can utilize these findings to optimize our marketing strategies and ensure we are investing in the right areas that yield maximum returns. Furthermore, comparison with industry standards provides room for assessing our competitive stance. Going forward, these insights will be critical in shaping our financial strategies and ensuring our marketing efforts are cost-effective and impactful.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