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Q3 2025 Patient Demographics Analysis</w:t>
      </w:r>
    </w:p>
    <w:p/>
    <w:p>
      <w:pPr>
        <w:pStyle w:val="Heading2"/>
      </w:pPr>
      <w:r>
        <w:t>Introduction</w:t>
      </w:r>
    </w:p>
    <w:p/>
    <w:p>
      <w:r>
        <w:t>In an ever-evolving digital healthcare landscape, understanding our customer profile is pivotal to our strategic decisions. This document provides an in-depth analysis of the median age of patients using MediConn's platforms in Q3 2025. The insights provided herein will be instrumental in aiding the development of marketing strategies and product offerings designed to cater to our core patient demographics.</w:t>
      </w:r>
    </w:p>
    <w:p/>
    <w:p>
      <w:pPr>
        <w:pStyle w:val="Heading2"/>
      </w:pPr>
      <w:r>
        <w:t>Analysis of Age Group Utilization Trends</w:t>
      </w:r>
    </w:p>
    <w:p/>
    <w:p>
      <w:r>
        <w:t>In Q2 2025, MediConn's platforms observed an uptick in utilization among the 25-34 age group, making up 27% of total users. This trend was particularly pronounced in our telehealth services. However, the 55-64 age group remained the most significant demographic, contributing to 32% of total platform usage.</w:t>
      </w:r>
    </w:p>
    <w:p/>
    <w:p>
      <w:pPr>
        <w:pStyle w:val="Heading2"/>
      </w:pPr>
      <w:r>
        <w:t>Median Age of Patients in Q3 2025</w:t>
      </w:r>
    </w:p>
    <w:p/>
    <w:p>
      <w:r>
        <w:t>The healthcare industry has seen a steady increase in the median age of patients using virtual services over the years. The shift towards remote care solutions is driven by the aging population and an increase in chronic diseases. This trend is expected to continue into the future.</w:t>
      </w:r>
    </w:p>
    <w:p/>
    <w:p>
      <w:pPr>
        <w:pStyle w:val="Heading2"/>
      </w:pPr>
      <w:r>
        <w:t>Impact on Future Marketing Strategies</w:t>
      </w:r>
    </w:p>
    <w:p/>
    <w:p>
      <w:r>
        <w:t>Looking forward, MediConn will need to tailor its marketing strategies to resonate with the changing age demographics. In particular, Q4 2025's marketing plan will focus on increasing user engagement for the 35-49 age segment, which showed a slight decline in Q2.</w:t>
      </w:r>
    </w:p>
    <w:p/>
    <w:p>
      <w:pPr>
        <w:pStyle w:val="Heading2"/>
      </w:pPr>
      <w:r>
        <w:t>Conclusion</w:t>
      </w:r>
    </w:p>
    <w:p/>
    <w:p>
      <w:r>
        <w:t>The insights provided in this report shed light on the demographic profile of patients using our platforms. Understanding this will enable us to tailor our services and marketing strategies more effectively. As we move forward, it's crucial to continue monitoring these trends to ensure alignment with our patient's needs. Further demographic studies are recommended for continued strategic planning.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