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Annual Employee Satisfaction Analysis</w:t>
      </w:r>
    </w:p>
    <w:p/>
    <w:p>
      <w:pPr>
        <w:pStyle w:val="Heading2"/>
      </w:pPr>
      <w:r>
        <w:t>Introduction</w:t>
      </w:r>
    </w:p>
    <w:p/>
    <w:p>
      <w:r>
        <w:t>This document provides an in-depth review of the 2025 annual employee satisfaction survey, focusing primarily on our non-technical staff. The objective is to identify trends, understand their satisfaction levels, and suggest potential areas for improvement. The insights derived will assist in enhancing our employee-centric culture and drive performance in our organization.</w:t>
      </w:r>
    </w:p>
    <w:p/>
    <w:p>
      <w:pPr>
        <w:pStyle w:val="Heading2"/>
      </w:pPr>
      <w:r>
        <w:t>Analysis of Overall Employee Satisfaction Trends</w:t>
      </w:r>
    </w:p>
    <w:p/>
    <w:p>
      <w:r>
        <w:t>In the recent years, MediConn Solutions has shown a steady increase in overall employee satisfaction. In 2022, the company's overall eNPS score was +25, a significant improvement from the +20 score in 2021. Various initiatives targeting employee health and well-being have been identified as primary contributors to this positive trend.</w:t>
      </w:r>
    </w:p>
    <w:p/>
    <w:p>
      <w:pPr>
        <w:pStyle w:val="Heading2"/>
      </w:pPr>
      <w:r>
        <w:t>Evaluation of Non-Technical Staff eNPS Scores</w:t>
      </w:r>
    </w:p>
    <w:p/>
    <w:p>
      <w:r>
        <w:t>We've observed a significant variance in the eNPS scores among different departments within the non-technical staff. For instance, the customer service department recorded a +30 score in 2023, while the administrative department logged a +35 in the same year. These variances necessitate a department-specific approach to improving satisfaction levels.</w:t>
      </w:r>
    </w:p>
    <w:p/>
    <w:p>
      <w:pPr>
        <w:pStyle w:val="Heading2"/>
      </w:pPr>
      <w:r>
        <w:t>Impact of Employee Satisfaction on Organizational Performance</w:t>
      </w:r>
    </w:p>
    <w:p/>
    <w:p>
      <w:r>
        <w:t>Employee satisfaction significantly impacts MediConn's organizational performance. In 2024, a 5% increase in employee satisfaction correlated with a 7% boost in productivity. This underscores the importance of maintaining high satisfaction levels among employees to drive organizational success.</w:t>
      </w:r>
    </w:p>
    <w:p/>
    <w:p>
      <w:pPr>
        <w:pStyle w:val="Heading2"/>
      </w:pPr>
      <w:r>
        <w:t>Conclusion</w:t>
      </w:r>
    </w:p>
    <w:p/>
    <w:p>
      <w:r>
        <w:t>The analysis reveals essential insights into the employee satisfaction levels within our non-technical team. It is crucial to take these findings into account to further improve our working environment and ensure employee retention. Potential next steps include further investigation into areas of dissatisfaction, implementing initiatives to address them, and re-evaluating satisfaction levels post-implementation.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