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Annual Wellness Challenge Report</w:t>
      </w:r>
    </w:p>
    <w:p/>
    <w:p>
      <w:pPr>
        <w:pStyle w:val="Heading2"/>
      </w:pPr>
      <w:r>
        <w:t>Introduction</w:t>
      </w:r>
    </w:p>
    <w:p/>
    <w:p>
      <w:r>
        <w:t>This report provides an overview of the employee participation in the annual Wellness Challenge conducted by MediConn Solutions in 2025. It aims to understand the engagement of our team in wellness initiatives, which ultimately reflects in our service to the users. The document includes data analysis and interpretation to provide a comprehensive view of the participation levels.</w:t>
      </w:r>
    </w:p>
    <w:p/>
    <w:p>
      <w:pPr>
        <w:pStyle w:val="Heading2"/>
      </w:pPr>
      <w:r>
        <w:t>Overview of Wellness Challenge 2025</w:t>
      </w:r>
    </w:p>
    <w:p/>
    <w:p>
      <w:r>
        <w:t>The 2025 Wellness Challenge saw an expanded scope over its previous iterations. Aimed at promoting a culture of health and wellness, it included diverse activities such as online yoga sessions, virtual walkathons, and interactive nutrition webinars. These events were specifically designed to cater to the remote-working lifestyle of our employees, ensuring that they could participate in their own time and pace.</w:t>
      </w:r>
    </w:p>
    <w:p/>
    <w:p>
      <w:pPr>
        <w:pStyle w:val="Heading2"/>
      </w:pPr>
      <w:r>
        <w:t>Analysis of Employee Participation</w:t>
      </w:r>
    </w:p>
    <w:p/>
    <w:p>
      <w:r>
        <w:t>The participation trend in our wellness initiatives has seen a steady increase over the years. In 2019, the participation rate was 45%, which increased to 52% in 2020 and 58% in 2021. The surge in participation is attributable to the company's consistent efforts in promoting wellness and fitness among its employees.</w:t>
      </w:r>
    </w:p>
    <w:p/>
    <w:p>
      <w:pPr>
        <w:pStyle w:val="Heading2"/>
      </w:pPr>
      <w:r>
        <w:t>Impact on Employee Health Metrics</w:t>
      </w:r>
    </w:p>
    <w:p/>
    <w:p>
      <w:r>
        <w:t>Our wellness initiatives have significantly improved our employee health metrics. In 2024, data showed a 15% decrease in reported stress levels and a 20% increase in physical activity levels among employees. Also, the absenteeism rate due to health issues reduced by 10% compared to the previous year's data.</w:t>
      </w:r>
    </w:p>
    <w:p/>
    <w:p>
      <w:pPr>
        <w:pStyle w:val="Heading2"/>
      </w:pPr>
      <w:r>
        <w:t>Conclusion</w:t>
      </w:r>
    </w:p>
    <w:p/>
    <w:p>
      <w:r>
        <w:t>The overall participation in the Wellness Challenge was encouraging, reflecting a healthy workforce and commitment towards health and wellness. Even so, there are opportunities to increase engagement in certain departments. We recommend a more targeted approach in these areas for our next wellness initiative. The positive trend in health metrics indicates the potential benefits of continuing similar wellness programs.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