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Workflow Optimization Plan Q4 2025</w:t>
      </w:r>
    </w:p>
    <w:p/>
    <w:p>
      <w:pPr>
        <w:pStyle w:val="Heading2"/>
      </w:pPr>
      <w:r>
        <w:t>Introduction</w:t>
      </w:r>
    </w:p>
    <w:p/>
    <w:p>
      <w:r>
        <w:t>As MediConn Solutions continues to expand its offerings in the virtual healthcare space, managing IT operational costs and streamlining workflows have become increasingly important. The purpose of this document is to identify potential areas for improvement and propose strategies to enhance clinician efficiency while effectively managing per-consultation costs. As the IT Operations Manager, I have outlined key focus areas that require our attention in Q4 2025.</w:t>
      </w:r>
    </w:p>
    <w:p/>
    <w:p>
      <w:pPr>
        <w:pStyle w:val="Heading2"/>
      </w:pPr>
      <w:r>
        <w:t>Assessment of Current IT Workflows</w:t>
      </w:r>
    </w:p>
    <w:p/>
    <w:p>
      <w:r>
        <w:t>As of October 2025, our analysis indicates that MediConn's IT system has successfully automated half of the tasks associated with Electronic Health Records (EHR) and documentation workflows. This indicates a significant achievement in leveraging technology to streamline operations and reduce manual processes. However, there remains a substantial opportunity to further enhance efficiency and manage costs by targeting the remaining 50% of EHR and documentation workflows that are still handled manually.</w:t>
      </w:r>
    </w:p>
    <w:p/>
    <w:p>
      <w:pPr>
        <w:pStyle w:val="Heading2"/>
      </w:pPr>
      <w:r>
        <w:t>Tech-Enabled Solutions for Clinician Efficiency</w:t>
      </w:r>
    </w:p>
    <w:p/>
    <w:p>
      <w:r>
        <w:t>Our team has been working on the development of a proprietary AI algorithm since 2023, aiming to predict patient health risks. The algorithm, scheduled for deployment in Q1 2026, is set to improve patient care quality. We also anticipate a 15% reduction in misdiagnosis rates, contributing to improved patient satisfaction scores.</w:t>
      </w:r>
    </w:p>
    <w:p/>
    <w:p>
      <w:pPr>
        <w:pStyle w:val="Heading2"/>
      </w:pPr>
      <w:r>
        <w:t>Cost Management Strategies for Virtual Consultations</w:t>
      </w:r>
    </w:p>
    <w:p/>
    <w:p>
      <w:r>
        <w:t>In 2024, we implemented a pilot program to test the viability of using blockchain technology for secure patient data transactions. The program showed a promising reduction in data breaches, and we plan to expand its scope in the upcoming quarters. We also noticed a 12% decrease in administrative costs associated with the process.</w:t>
      </w:r>
    </w:p>
    <w:p/>
    <w:p>
      <w:pPr>
        <w:pStyle w:val="Heading2"/>
      </w:pPr>
      <w:r>
        <w:t>Conclusion</w:t>
      </w:r>
    </w:p>
    <w:p/>
    <w:p>
      <w:r>
        <w:t>In conclusion, it's evident that optimizing our IT workflows, enhancing clinician efficiency with tech-enabled solutions, and implementing cost management strategies for virtual consultations are critical for MediConn's success in Q4 2025. It's recommended that we invest in a thorough review of our current workflows, explore cutting-edge technology to boost clinician productivity, and adopt strategic approaches to manage consultation costs. These initiatives, when implemented correctly, would not only result in cost savings but also enhance the quality of our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