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Sustainability Report: Carbon Footprint Reduction 2024</w:t>
      </w:r>
    </w:p>
    <w:p/>
    <w:p>
      <w:pPr>
        <w:pStyle w:val="Heading2"/>
      </w:pPr>
      <w:r>
        <w:t>Introduction</w:t>
      </w:r>
    </w:p>
    <w:p/>
    <w:p>
      <w:r>
        <w:t>As part of Lee's Market commitment to environmental sustainability, this report presents an assessment of our carbon footprint reduction efforts in 2024. It highlights the strategies implemented, the outcomes, and the impact on our overall sustainability goals. This evaluation is crucial in identifying opportunities for future improvement and upholding our commitment to environmental stewardship.</w:t>
      </w:r>
    </w:p>
    <w:p/>
    <w:p>
      <w:pPr>
        <w:pStyle w:val="Heading2"/>
      </w:pPr>
      <w:r>
        <w:t>Overview of Sustainability Initiatives in 2024</w:t>
      </w:r>
    </w:p>
    <w:p/>
    <w:p>
      <w:r>
        <w:t>In 2024, Lee's Market launched a range of sustainability initiatives that emphasized waste management and packaging. We worked with suppliers to reduce product packaging by 15%. Additionally, we implemented a company-wide recycling program and diverted 30% of our waste from landfills.</w:t>
      </w:r>
    </w:p>
    <w:p/>
    <w:p>
      <w:pPr>
        <w:pStyle w:val="Heading2"/>
      </w:pPr>
      <w:r>
        <w:t>Detailed Analysis of Carbon Reduction Strategies</w:t>
      </w:r>
    </w:p>
    <w:p/>
    <w:p>
      <w:r>
        <w:t>Our carbon reduction strategies in 2024 focused on improving store lighting efficiency and reducing water usage. We retrofitted 75% of our stores with energy-efficient lighting, which led to a significant reduction in energy usage. Also, we reduced water usage in our stores by 20% through a variety of methods, including low-flow fixtures.</w:t>
      </w:r>
    </w:p>
    <w:p/>
    <w:p>
      <w:pPr>
        <w:pStyle w:val="Heading2"/>
      </w:pPr>
      <w:r>
        <w:t>Impact and Outcome of Carbon Reduction Efforts</w:t>
      </w:r>
    </w:p>
    <w:p/>
    <w:p>
      <w:r>
        <w:t>The carbon reduction efforts implemented in 2024 resulted in a 10% decrease in our electricity bills and a 15% reduction in water bills. We observed an improvement in the overall energy efficiency of our retail stores. Furthermore, we received positive customer feedback about our commitment to sustainability.</w:t>
      </w:r>
    </w:p>
    <w:p/>
    <w:p>
      <w:pPr>
        <w:pStyle w:val="Heading2"/>
      </w:pPr>
      <w:r>
        <w:t>Conclusion</w:t>
      </w:r>
    </w:p>
    <w:p/>
    <w:p>
      <w:r>
        <w:t>In conclusion, our carbon reduction strategies in 2024 have been instrumental in aligning Lee's Market with global sustainability goals. We have made significant strides in reducing our carbon footprint, although there is room for further progress. Future efforts should focus on refining our current strategies and exploring new opportunities for sustainability. Together, we can make Lee's Market a leader in sustainable retail.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