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After-Sales Service Performance Report</w:t>
      </w:r>
    </w:p>
    <w:p/>
    <w:p>
      <w:pPr>
        <w:pStyle w:val="Heading2"/>
      </w:pPr>
      <w:r>
        <w:t>Introduction</w:t>
      </w:r>
    </w:p>
    <w:p/>
    <w:p>
      <w:r>
        <w:t>This document provides an in-depth analysis of our company's after-sales service performance for the year 2025. It includes customer satisfaction scores, reasons for dissatisfaction, and areas of improvement. Our goal is to understand our strengths and weaknesses in the after-sales service to improve our customer experience.</w:t>
      </w:r>
    </w:p>
    <w:p/>
    <w:p>
      <w:pPr>
        <w:pStyle w:val="Heading2"/>
      </w:pPr>
      <w:r>
        <w:t>Analysis of Customer Feedback</w:t>
      </w:r>
    </w:p>
    <w:p/>
    <w:p>
      <w:r>
        <w:t>In 2025, Elexion Automotive recorded a 15% increase in customer feedback responses compared to the previous year. The feedback primarily revolved around vehicle performance, energy efficiency, and interior design. These insights were instrumental in shaping our product development strategy for the subsequent years.</w:t>
      </w:r>
    </w:p>
    <w:p/>
    <w:p>
      <w:pPr>
        <w:pStyle w:val="Heading2"/>
      </w:pPr>
      <w:r>
        <w:t>Impact of After-sales Service on Brand Loyalty</w:t>
      </w:r>
    </w:p>
    <w:p/>
    <w:p>
      <w:r>
        <w:t>Our data from 2025 shows that customers who engaged with our after-sales service were 20% more likely to make repeat purchases. Furthermore, these customers were also more likely to recommend Elexion to their peers. This suggests a strong correlation between after-sales service and brand loyalty.</w:t>
      </w:r>
    </w:p>
    <w:p/>
    <w:p>
      <w:pPr>
        <w:pStyle w:val="Heading2"/>
      </w:pPr>
      <w:r>
        <w:t>Detailed Breakdown of Customer Satisfaction Scores</w:t>
      </w:r>
    </w:p>
    <w:p/>
    <w:p>
      <w:r>
        <w:t>The customer satisfaction scores from 2025 highlight a growing appreciation for our vehicle's technological advancements. Over 70% of customers rated their satisfaction with the vehicle's technology as 'high' or 'very high'. However, there was room for improvement in terms of vehicle aesthetics as per customer feedback.</w:t>
      </w:r>
    </w:p>
    <w:p/>
    <w:p>
      <w:pPr>
        <w:pStyle w:val="Heading2"/>
      </w:pPr>
      <w:r>
        <w:t>Conclusion</w:t>
      </w:r>
    </w:p>
    <w:p/>
    <w:p>
      <w:r>
        <w:t>Overall, our after-sales service has performed well in 2025, although there are areas that require improvement. The detailed analysis of our customer satisfaction scores provides valuable insights into how we can enhance our customer service. We should prioritize these improvements to maintain our brand loyalty and customer retention. The data-based recommendations in this report should guide our next steps.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