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Compliance Framework Adaptation: ZEV Mandate 2026</w:t>
      </w:r>
    </w:p>
    <w:p/>
    <w:p>
      <w:pPr>
        <w:pStyle w:val="Heading2"/>
      </w:pPr>
      <w:r>
        <w:t>Introduction</w:t>
      </w:r>
    </w:p>
    <w:p/>
    <w:p>
      <w:r>
        <w:t>This document serves as a strategic outline for the necessary enhancements to Elexion Automotive's compliance documentation framework. The focus is on the verification and recording of supply-chain investment credits under Canada’s revised Zero Emission Vehicle (ZEV) mandate as expected by 2026. As a Regulatory Compliance Specialist, I have identified key areas for review to ensure our continued adherence to evolving regulations.</w:t>
      </w:r>
    </w:p>
    <w:p/>
    <w:p>
      <w:pPr>
        <w:pStyle w:val="Heading2"/>
      </w:pPr>
      <w:r>
        <w:t>Investment Credits Verification: Current Processes and Potential Gaps</w:t>
      </w:r>
    </w:p>
    <w:p/>
    <w:p>
      <w:r>
        <w:t>At Elexion Automotive, we have implemented robust internal audit mechanisms to verify our investment credits. In the third quarter of 2022, our audit team identified discrepancies in the documentation of R&amp;D tax credits, which led to process enhancements. This has resulted in a 15% improvement in the verification process efficiency in the last quarter.</w:t>
      </w:r>
    </w:p>
    <w:p/>
    <w:p>
      <w:pPr>
        <w:pStyle w:val="Heading2"/>
      </w:pPr>
      <w:r>
        <w:t>Proposed Enhancements to Compliance Documentation Framework</w:t>
      </w:r>
    </w:p>
    <w:p/>
    <w:p>
      <w:r>
        <w:t>In light of the increasing regulatory complexities, we have proposed enhancements to our compliance framework. We aim to integrate AI capabilities into our systems by Q2 2024, to streamline data processing and improve reporting accuracy. We believe this will significantly expedite our overall compliance process, reducing operational delays.</w:t>
      </w:r>
    </w:p>
    <w:p/>
    <w:p>
      <w:pPr>
        <w:pStyle w:val="Heading2"/>
      </w:pPr>
      <w:r>
        <w:t>Understanding ZEV Mandate Changes: Implications and Interpretations</w:t>
      </w:r>
    </w:p>
    <w:p/>
    <w:p>
      <w:r>
        <w:t>In assessing the administrative implications of Canada's revised ZEV mandate, it's crucial to consider the current workload involved in supply-chain investment reporting. Under the existing 2025 framework, the process of assembling and validating a single report during each compliance cycle consumes approximately 40 man-hours. This measure of manual effort informs us about areas where automation or standardization of templates could significantly reduce time expenditure in the forthcoming documentation protocol.</w:t>
      </w:r>
    </w:p>
    <w:p/>
    <w:p>
      <w:pPr>
        <w:pStyle w:val="Heading2"/>
      </w:pPr>
      <w:r>
        <w:t>Conclusion</w:t>
      </w:r>
    </w:p>
    <w:p/>
    <w:p>
      <w:r>
        <w:t>By understanding the implications of the revised ZEV mandate, identifying the potential gaps in our current processes, and proposing enhancements to our compliance documentation framework, we can ensure Elexion Automotive remains compliant. The outlined steps provide a roadmap for the necessary adaptations over the coming years. It's recommended to initiate a cross-functional task force to start implementing these changes. This will ensure our continued operation within the Canadian market and safeguard our supply-chain investment credits.</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