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FY2026 Remote Work Strategy for MediConn Solutions</w:t>
      </w:r>
    </w:p>
    <w:p/>
    <w:p>
      <w:pPr>
        <w:pStyle w:val="Heading2"/>
      </w:pPr>
      <w:r>
        <w:t>Introduction</w:t>
      </w:r>
    </w:p>
    <w:p/>
    <w:p>
      <w:r>
        <w:t>The following document outlines MediConn Solutions' plan to expand remote work options for our staff in fiscal year 2026. This initiative is driven by our commitment to employee flexibility and operational efficiency, and it aligns with our broader strategy in the virtual/remote healthcare industry. The report examines potential impacts on organizational structure, technology requirements, and employee engagement.</w:t>
      </w:r>
    </w:p>
    <w:p/>
    <w:p>
      <w:pPr>
        <w:pStyle w:val="Heading2"/>
      </w:pPr>
      <w:r>
        <w:t>Revising Organizational Structure for Remote Work</w:t>
      </w:r>
    </w:p>
    <w:p/>
    <w:p>
      <w:r>
        <w:t>In 2019, MediConn undertook a significant revision of its organizational structure to better adapt to the evolving demands of remote work. This involved a 25% increase in the IT department's staff and restructuring of our communication channels. The changes have led to improved operational efficiency and a 15% reduction in internal communication delays.</w:t>
      </w:r>
    </w:p>
    <w:p/>
    <w:p>
      <w:pPr>
        <w:pStyle w:val="Heading2"/>
      </w:pPr>
      <w:r>
        <w:t>Technology Infrastructure Enhancements</w:t>
      </w:r>
    </w:p>
    <w:p/>
    <w:p>
      <w:r>
        <w:t>MediConn has invested heavily in enhancing its technology infrastructure. In 2020, we upgraded our server capacity by 60% to handle increased data traffic. Additionally, we implemented a new VPN system to ensure secure and reliable remote access for our employees.</w:t>
      </w:r>
    </w:p>
    <w:p/>
    <w:p>
      <w:pPr>
        <w:pStyle w:val="Heading2"/>
      </w:pPr>
      <w:r>
        <w:t>Employee Engagement and Remote Work Culture</w:t>
      </w:r>
    </w:p>
    <w:p/>
    <w:p>
      <w:r>
        <w:t>Employee engagement has always been a priority at MediConn. In 2021, we introduced a series of virtual team-building activities that saw over 85% participation rate. These initiatives have significantly boosted our employees' morale and fostered a strong remote work culture.</w:t>
      </w:r>
    </w:p>
    <w:p/>
    <w:p>
      <w:pPr>
        <w:pStyle w:val="Heading2"/>
      </w:pPr>
      <w:r>
        <w:t>Conclusion</w:t>
      </w:r>
    </w:p>
    <w:p/>
    <w:p>
      <w:r>
        <w:t>The planned increase in remote work options for FY2026 reflects our adaptability and commitment to meet evolving employee and market demands. Successful implementation will require careful consideration of organizational structure, technology infrastructure, and employee engagement. Further discussions will be necessary to refine these plans and ensure a smooth transition. Let's collaborate to make MediConn Solutions a more flexible, efficient, and employee-friendly workplace.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