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Internal Server Virtualization Report</w:t>
      </w:r>
    </w:p>
    <w:p/>
    <w:p>
      <w:pPr>
        <w:pStyle w:val="Heading2"/>
      </w:pPr>
      <w:r>
        <w:t>Introduction</w:t>
      </w:r>
    </w:p>
    <w:p/>
    <w:p>
      <w:r>
        <w:t>This report provides an analysis of the virtualization status of MediConn Solution's internal servers as of Q2 2025. As part of our ongoing digital transformation efforts, it is crucial to understand the current state of our server infrastructure. This information will help guide decisions on future investments and resource allocation.</w:t>
      </w:r>
    </w:p>
    <w:p/>
    <w:p>
      <w:pPr>
        <w:pStyle w:val="Heading2"/>
      </w:pPr>
      <w:r>
        <w:t>Analysis of Server Infrastructure</w:t>
      </w:r>
    </w:p>
    <w:p/>
    <w:p>
      <w:r>
        <w:t>MediConn Solutions implemented a robust server infrastructure in 2020, consisting of both physical and cloud servers. The infrastructure was designed with scalability in mind, ensuring the ability to handle the increasing volumes of patient data. Aided by the IT department, the company also made provisions for data redundancy and improved disaster recovery mechanisms.</w:t>
      </w:r>
    </w:p>
    <w:p/>
    <w:p>
      <w:pPr>
        <w:pStyle w:val="Heading2"/>
      </w:pPr>
      <w:r>
        <w:t>Virtualization Progress and Trends</w:t>
      </w:r>
    </w:p>
    <w:p/>
    <w:p>
      <w:r>
        <w:t>The global healthcare industry has seen a steady increase in the adoption of server virtualization. It helps manage resources more effectively and improves system performance. However, the implementation requires a significant upfront investment and ongoing maintenance, which can be a deterrent for some organizations.</w:t>
      </w:r>
    </w:p>
    <w:p/>
    <w:p>
      <w:pPr>
        <w:pStyle w:val="Heading2"/>
      </w:pPr>
      <w:r>
        <w:t>Impacts of Virtualization on Operational Efficiency</w:t>
      </w:r>
    </w:p>
    <w:p/>
    <w:p>
      <w:r>
        <w:t>In general, virtualization can greatly enhance operational efficiency in healthcare. It allows for streamlined IT operations, better resource management, and reduced costs. Specifically, it can lead to a 30% reduction in IT expenditure and a 20% increase in operational speed.</w:t>
      </w:r>
    </w:p>
    <w:p/>
    <w:p>
      <w:pPr>
        <w:pStyle w:val="Heading2"/>
      </w:pPr>
      <w:r>
        <w:t>Conclusion</w:t>
      </w:r>
    </w:p>
    <w:p/>
    <w:p>
      <w:r>
        <w:t>Understanding the level of virtualization within our server infrastructure allows us to better plan for future needs and potential upgrades. With the ongoing digital transformation, we must continually monitor and adjust our strategy. This report provides insights into our current state and will help guide future decisions. The IT department will continue to monitor and report on these trends moving forward.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