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Project Budget Performance Analysis 2025</w:t>
      </w:r>
    </w:p>
    <w:p/>
    <w:p>
      <w:pPr>
        <w:pStyle w:val="Heading2"/>
      </w:pPr>
      <w:r>
        <w:t>Introduction</w:t>
      </w:r>
    </w:p>
    <w:p/>
    <w:p>
      <w:r>
        <w:t>This document provides a detailed analysis of MediConn Solutions' IT projects' budget performance for the year 2025. As part of our continuous improvement efforts, this analysis aims to identify areas where efficiency was achieved and areas needing improvement. The report will provide valuable insights into our budgeting process, facilitating strategic planning for future projects.</w:t>
      </w:r>
    </w:p>
    <w:p/>
    <w:p>
      <w:pPr>
        <w:pStyle w:val="Heading2"/>
      </w:pPr>
      <w:r>
        <w:t>Overview of IT Projects in 2025</w:t>
      </w:r>
    </w:p>
    <w:p/>
    <w:p>
      <w:r>
        <w:t>In 2025, MediConn Solutions embarked on multiple IT projects, spanning from system upgrades to data security enhancements. The demand for remote healthcare solutions was at an all-time high, leading to a surge in the number of projects handled by the IT department. These projects played a pivotal role in enhancing the company's virtual healthcare delivery and maintaining our competitive edge.</w:t>
      </w:r>
    </w:p>
    <w:p/>
    <w:p>
      <w:pPr>
        <w:pStyle w:val="Heading2"/>
      </w:pPr>
      <w:r>
        <w:t>Budget Efficiency Metrics and Trends</w:t>
      </w:r>
    </w:p>
    <w:p/>
    <w:p>
      <w:r>
        <w:t>Our approach to budget efficiency extends beyond just cost management. We also consider the value delivered by each IT project, including enhancements to data security, software functionality, and overall system performance. By these metrics, our IT projects have shown a positive trend in efficiency and value delivery over the past years.</w:t>
      </w:r>
    </w:p>
    <w:p/>
    <w:p>
      <w:pPr>
        <w:pStyle w:val="Heading2"/>
      </w:pPr>
      <w:r>
        <w:t>Analysis of Under-budget IT Projects</w:t>
      </w:r>
    </w:p>
    <w:p/>
    <w:p>
      <w:r>
        <w:t>Projects that come under budget are analyzed to understand the factors contributing to this outcome. Such factors often include effective project management, accurate cost estimation, and efficient resource allocation. These learnings help us improve budgeting and project planning in future endeavors.</w:t>
      </w:r>
    </w:p>
    <w:p/>
    <w:p>
      <w:pPr>
        <w:pStyle w:val="Heading2"/>
      </w:pPr>
      <w:r>
        <w:t>Conclusion</w:t>
      </w:r>
    </w:p>
    <w:p/>
    <w:p>
      <w:r>
        <w:t>The analysis of our IT projects' budget performance in 2025 has revealed significant insights. While we have made strides in achieving budget efficiency in some areas, there are opportunities for improvement in others. These findings should guide our budgeting and project management strategies going forward. Continued monitoring and analysis are recommended to ensure ongoing improvement and effectiveness in IT project budgeting.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