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IT Modernization Strategy for Virtual Healthcare</w:t>
      </w:r>
    </w:p>
    <w:p/>
    <w:p>
      <w:pPr>
        <w:pStyle w:val="Heading2"/>
      </w:pPr>
      <w:r>
        <w:t>Introduction</w:t>
      </w:r>
    </w:p>
    <w:p/>
    <w:p>
      <w:r>
        <w:t>As MediConn continues to lead in the virtual healthcare industry, staying aligned with evolving national virtual care standards and shared digital health infrastructure becomes critical. This document outlines our strategic approach to IT modernization to ensure we remain at the forefront of our industry and provide the highest level of care to our patients. It will explore potential technology advancements, regulatory considerations, and the integration of shared digital health resources.</w:t>
      </w:r>
    </w:p>
    <w:p/>
    <w:p>
      <w:pPr>
        <w:pStyle w:val="Heading2"/>
      </w:pPr>
      <w:r>
        <w:t>Exploration of Potential Technology Advancements</w:t>
      </w:r>
    </w:p>
    <w:p/>
    <w:p>
      <w:r>
        <w:t>Our forward-looking estimates indicate a promising forecast for MediConn's tech upgrades planned for the 2025-2026 period. The anticipated return on investment (ROI) is projected to be in the vicinity of 28%, a figure that surpasses the typical 20-25% ROI benchmark seen among other Canadian virtual-care providers. This favorable outcome can be attributed to our strategic focus on enhancing efficiency and interoperability. These technology advancements are not only expected to yield higher financial returns, but also position us favorably in terms of compliance with evolving national virtual care standards and shared digital health infrastructure.</w:t>
      </w:r>
    </w:p>
    <w:p/>
    <w:p>
      <w:pPr>
        <w:pStyle w:val="Heading2"/>
      </w:pPr>
      <w:r>
        <w:t>Regulatory Considerations for Virtual Care</w:t>
      </w:r>
    </w:p>
    <w:p/>
    <w:p>
      <w:r>
        <w:t>The regulatory landscape for virtual healthcare continues to evolve. As of 2021, 40% of U.S. states have laws that require private insurers to cover telemedicine services. Furthermore, the Canadian government is actively exploring new legislation to protect patient data in virtual care scenarios.</w:t>
      </w:r>
    </w:p>
    <w:p/>
    <w:p>
      <w:pPr>
        <w:pStyle w:val="Heading2"/>
      </w:pPr>
      <w:r>
        <w:t>Integration of Shared Digital Health Infrastructure</w:t>
      </w:r>
    </w:p>
    <w:p/>
    <w:p>
      <w:r>
        <w:t>The integration of shared digital health infrastructure can be challenging. In 2019, A health department's attempt to integrate systems resulted in a 15% increase in operational costs and a six-month delay. This emphasizes the importance of careful planning and execution.</w:t>
      </w:r>
    </w:p>
    <w:p/>
    <w:p>
      <w:pPr>
        <w:pStyle w:val="Heading2"/>
      </w:pPr>
      <w:r>
        <w:t>Conclusion</w:t>
      </w:r>
    </w:p>
    <w:p/>
    <w:p>
      <w:r>
        <w:t>Staying ahead of IT trends while adhering to regulatory standards is essential for MediConn's continued success in the virtual healthcare sector. By prioritizing potential technology advancements, keeping abreast of regulatory changes, and effectively integrating shared digital health infrastructure, we will be better prepared for the evolving landscape. These initiatives will not only help us stay competitive but will also enhance the quality of care we provide to our patients. Our next steps will be to delve into each of these areas, identifying specific actions and timelines for implementation.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