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Commercial Governance and Operational Controls Guide</w:t>
      </w:r>
    </w:p>
    <w:p/>
    <w:p>
      <w:pPr>
        <w:pStyle w:val="Heading2"/>
      </w:pPr>
      <w:r>
        <w:t>Introduction</w:t>
      </w:r>
    </w:p>
    <w:p/>
    <w:p>
      <w:r>
        <w:t>This document provides standardized governance guidance to support consistent commercial operations across HelioFreight Logistics. It outlines key controls, documentation expectations, and cross-functional coordination practices used in a large-scale 3PL environment. These guidelines are intended for Commercial, Operations, Finance, and Legal stakeholders involved in customer and carrier engagements. Adherence helps reduce risk, improve audit readiness, and maintain service quality.</w:t>
      </w:r>
    </w:p>
    <w:p/>
    <w:p>
      <w:pPr>
        <w:pStyle w:val="Heading2"/>
      </w:pPr>
      <w:r>
        <w:t>Customer Onboarding Data Standards</w:t>
      </w:r>
    </w:p>
    <w:p/>
    <w:p>
      <w:r>
        <w:t>During customer onboarding, HelioFreight requires complete SKU masters, UOMs, lot/serial rules, hazard/controlled-item flags, and location mapping in the WMS so the weekly cycle count list can be generated accurately and count locations can be assigned to floor leads. Floor leads perform physical counts and enter results via handheld/WMS, then inventory control compares expected versus actual quantities and immediately quarantines discrepant SKUs. Analysts research transaction history (receipts, picks, and prior adjustments) and, once validated, post approved inventory adjustments in the WMS to restore book accuracy. A variance report by customer and SKU is published to operations leadership each week, and any variance exceeding the threshold (e.g., &gt;2% or customer-specific SLA) triggers a root-cause review and a scheduled recount. If hazardous or controlled items are involved, compliance is notified and product movement is restricted until resolution.</w:t>
      </w:r>
    </w:p>
    <w:p/>
    <w:p>
      <w:pPr>
        <w:pStyle w:val="Heading2"/>
      </w:pPr>
      <w:r>
        <w:t>Conclusion</w:t>
      </w:r>
    </w:p>
    <w:p/>
    <w:p>
      <w:r>
        <w:t>Applying these guidelines consistently supports predictable execution across HelioFreight’s North American network. Standard controls and clear ownership reduce operational variance and strengthen compliance posture. When teams align on documentation, data quality, and governance, customer outcomes improve and disputes decrease. Leaders should reinforce adoption through periodic reviews and continuous improvement cycles.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