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Enterprise Contract Governance Guidelines</w:t>
      </w:r>
    </w:p>
    <w:p/>
    <w:p>
      <w:pPr>
        <w:pStyle w:val="Heading2"/>
      </w:pPr>
      <w:r>
        <w:t>Introduction</w:t>
      </w:r>
    </w:p>
    <w:p/>
    <w:p>
      <w:r>
        <w:t>This document establishes standardized governance practices for contract-related activities at HelioFreight Logistics. It aligns key stakeholders across warehousing, freight operations, finance, and compliance to support consistent commercial execution. The guidelines define roles, documentation expectations, and decision rights to reduce operational friction. These standards apply to all North America business units and shared service teams.</w:t>
      </w:r>
    </w:p>
    <w:p/>
    <w:p>
      <w:pPr>
        <w:pStyle w:val="Heading2"/>
      </w:pPr>
      <w:r>
        <w:t>Commercial Risk and Liability Controls</w:t>
      </w:r>
    </w:p>
    <w:p/>
    <w:p>
      <w:r>
        <w:t>To reduce commercial exposure on upcoming freight, HelioFreight exports the next-week shipment forecast from the TMS and groups lanes by origin/destination, service level, and equipment type before assigning capacity. The team reviews carrier performance metrics—on-time pickup/delivery, claims ratio, and tender acceptance—alongside current spot and contract rates to select primary and backup carriers per lane. Selections are then codified by updating the routing guide in the TMS and communicating lane-specific tendering rules and exception handling to the dispatch team. Where capacity is constrained, Procurement opens a lane-specific mini-bid or uses an approved spot marketplace; when a carrier KPI falls below threshold, the carrier is placed on probation and must provide corrective action before receiving additional volume.</w:t>
      </w:r>
    </w:p>
    <w:p/>
    <w:p>
      <w:pPr>
        <w:pStyle w:val="Heading2"/>
      </w:pPr>
      <w:r>
        <w:t>Conclusion</w:t>
      </w:r>
    </w:p>
    <w:p/>
    <w:p>
      <w:r>
        <w:t>Consistent adherence to these guidelines helps HelioFreight maintain disciplined commercial operations across a complex 3PL environment. Clear governance and supporting controls reduce downstream exceptions, billing disputes, and service-level risk. Standard documentation and retention practices strengthen audit readiness and contractual compliance. Leaders are responsible for ensuring their teams follow these expectations in day-to-day execution.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